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CF6" w:rsidRPr="005D0CF6" w:rsidRDefault="005D0CF6" w:rsidP="005D0CF6">
      <w:pPr>
        <w:ind w:left="426" w:hanging="284"/>
        <w:jc w:val="center"/>
        <w:rPr>
          <w:rFonts w:ascii="Arial" w:hAnsi="Arial" w:cs="Arial"/>
          <w:b/>
        </w:rPr>
      </w:pPr>
      <w:r w:rsidRPr="005D0CF6">
        <w:rPr>
          <w:rFonts w:ascii="Arial" w:hAnsi="Arial" w:cs="Arial"/>
          <w:b/>
        </w:rPr>
        <w:t>SZCZEGÓŁOWY OPIS PRZEDMIOTU ZAMÓWIENIA</w:t>
      </w:r>
    </w:p>
    <w:p w:rsidR="00BF1316" w:rsidRPr="00EE0B8C" w:rsidRDefault="00EE0B8C" w:rsidP="00EE0B8C">
      <w:pPr>
        <w:numPr>
          <w:ilvl w:val="0"/>
          <w:numId w:val="1"/>
        </w:numPr>
        <w:ind w:left="426" w:hanging="284"/>
        <w:jc w:val="both"/>
        <w:rPr>
          <w:rFonts w:ascii="Arial" w:hAnsi="Arial" w:cs="Arial"/>
          <w:sz w:val="20"/>
        </w:rPr>
      </w:pPr>
      <w:r w:rsidRPr="00EE0B8C">
        <w:rPr>
          <w:rFonts w:ascii="Arial" w:hAnsi="Arial" w:cs="Arial"/>
          <w:sz w:val="20"/>
        </w:rPr>
        <w:t xml:space="preserve">Towar musi być opakowany w sposób umożliwiający ich identyfikację (ilość, numer katalogowy, parametry techniczne, itp.) bez konieczności naruszania opakowania oraz z wszelkimi zabezpieczeniami stosowanymi przez producentów (np. hologramy, paski zabezpieczające przed wysypaniem proszku, itp.), a także w sposób chroniący przed działaniem czynników zewnętrznych. Wykonawca zobowiązuje się dostarczyć fabrycznie nowy, pełnowartościowy, nieregenerowany </w:t>
      </w:r>
      <w:r>
        <w:rPr>
          <w:rFonts w:ascii="Arial" w:hAnsi="Arial" w:cs="Arial"/>
          <w:sz w:val="20"/>
        </w:rPr>
        <w:br/>
      </w:r>
      <w:r w:rsidRPr="00EE0B8C">
        <w:rPr>
          <w:rFonts w:ascii="Arial" w:hAnsi="Arial" w:cs="Arial"/>
          <w:sz w:val="20"/>
        </w:rPr>
        <w:t>i niefabrykowany przedmiot umowy, wolny od wad technicznych, wyprodukowany wyłącznie ze 100% nowych komponentów, w oryginalnych opakowaniach producenta z kodami kreskowymi, umożliwiające ich identyfikacje, bez konieczności naruszania opakowania.</w:t>
      </w:r>
    </w:p>
    <w:p w:rsidR="00BF1316" w:rsidRPr="00EE0B8C" w:rsidRDefault="00EE0B8C" w:rsidP="00EE0B8C">
      <w:pPr>
        <w:numPr>
          <w:ilvl w:val="0"/>
          <w:numId w:val="1"/>
        </w:numPr>
        <w:ind w:left="426" w:hanging="284"/>
        <w:jc w:val="both"/>
        <w:rPr>
          <w:rFonts w:ascii="Arial" w:hAnsi="Arial" w:cs="Arial"/>
          <w:sz w:val="20"/>
        </w:rPr>
      </w:pPr>
      <w:r w:rsidRPr="00EE0B8C">
        <w:rPr>
          <w:rFonts w:ascii="Arial" w:hAnsi="Arial" w:cs="Arial"/>
          <w:sz w:val="20"/>
        </w:rPr>
        <w:t xml:space="preserve">Towar musi być fabrycznie nowy oraz spełniać wymagania techniczno-jakościowe określone </w:t>
      </w:r>
      <w:r>
        <w:rPr>
          <w:rFonts w:ascii="Arial" w:hAnsi="Arial" w:cs="Arial"/>
          <w:sz w:val="20"/>
        </w:rPr>
        <w:br/>
      </w:r>
      <w:r w:rsidRPr="00EE0B8C">
        <w:rPr>
          <w:rFonts w:ascii="Arial" w:hAnsi="Arial" w:cs="Arial"/>
          <w:sz w:val="20"/>
        </w:rPr>
        <w:t>w dokumentacji technicznej producenta na dany wyrób oraz odpowiednie normy.</w:t>
      </w:r>
    </w:p>
    <w:p w:rsidR="00BF1316" w:rsidRPr="00EE0B8C" w:rsidRDefault="00EE0B8C" w:rsidP="00EE0B8C">
      <w:pPr>
        <w:numPr>
          <w:ilvl w:val="0"/>
          <w:numId w:val="1"/>
        </w:numPr>
        <w:ind w:left="426" w:hanging="284"/>
        <w:jc w:val="both"/>
        <w:rPr>
          <w:rFonts w:ascii="Arial" w:hAnsi="Arial" w:cs="Arial"/>
          <w:sz w:val="20"/>
        </w:rPr>
      </w:pPr>
      <w:r w:rsidRPr="00EE0B8C">
        <w:rPr>
          <w:rFonts w:ascii="Arial" w:hAnsi="Arial" w:cs="Arial"/>
          <w:sz w:val="20"/>
        </w:rPr>
        <w:t xml:space="preserve">Towar musi być dostarczony w opakowaniu zabezpieczającym przed zmianami ilościowymi </w:t>
      </w:r>
      <w:r>
        <w:rPr>
          <w:rFonts w:ascii="Arial" w:hAnsi="Arial" w:cs="Arial"/>
          <w:sz w:val="20"/>
        </w:rPr>
        <w:br/>
      </w:r>
      <w:r w:rsidRPr="00EE0B8C">
        <w:rPr>
          <w:rFonts w:ascii="Arial" w:hAnsi="Arial" w:cs="Arial"/>
          <w:sz w:val="20"/>
        </w:rPr>
        <w:t>i jakościowymi.</w:t>
      </w:r>
    </w:p>
    <w:p w:rsidR="00BF1316" w:rsidRPr="00EE0B8C" w:rsidRDefault="00EE0B8C" w:rsidP="00EE0B8C">
      <w:pPr>
        <w:numPr>
          <w:ilvl w:val="0"/>
          <w:numId w:val="1"/>
        </w:numPr>
        <w:ind w:left="426" w:hanging="284"/>
        <w:jc w:val="both"/>
        <w:rPr>
          <w:rFonts w:ascii="Arial" w:hAnsi="Arial" w:cs="Arial"/>
          <w:sz w:val="20"/>
        </w:rPr>
      </w:pPr>
      <w:r w:rsidRPr="00EE0B8C">
        <w:rPr>
          <w:rFonts w:ascii="Arial" w:hAnsi="Arial" w:cs="Arial"/>
          <w:sz w:val="20"/>
        </w:rPr>
        <w:t xml:space="preserve">Zamawiający dopuszcza składanie ofert równoważnych w zakresie parametrów technicznych </w:t>
      </w:r>
      <w:r>
        <w:rPr>
          <w:rFonts w:ascii="Arial" w:hAnsi="Arial" w:cs="Arial"/>
          <w:sz w:val="20"/>
        </w:rPr>
        <w:br/>
      </w:r>
      <w:r w:rsidRPr="00EE0B8C">
        <w:rPr>
          <w:rFonts w:ascii="Arial" w:hAnsi="Arial" w:cs="Arial"/>
          <w:sz w:val="20"/>
        </w:rPr>
        <w:t>i jakościowych przedmiotu umowy. Przez produkt równoważny strony rozumieją produkt kompatybilny ze sprzętem do którego jest zamówiony, o parametrach takich samych, lub lepszych (pojemność</w:t>
      </w:r>
      <w:r>
        <w:rPr>
          <w:rFonts w:ascii="Arial" w:hAnsi="Arial" w:cs="Arial"/>
          <w:sz w:val="20"/>
        </w:rPr>
        <w:t xml:space="preserve"> </w:t>
      </w:r>
      <w:r w:rsidRPr="00EE0B8C">
        <w:rPr>
          <w:rFonts w:ascii="Arial" w:hAnsi="Arial" w:cs="Arial"/>
          <w:sz w:val="20"/>
        </w:rPr>
        <w:t>tusza/tonera, wydajność i jakość wydruku, szybkość schnięcia – utrwalania, niezamazywania się druku) w stosunku do typu zamawianego produktu fabrycznie nowego, nieregenerowanego, pochodzącego od producenta urządzenia, do którego materiał jest przeznaczony (różnice mogą dotyczyć znaku firmowego, towarowego, patentu, pochodzenia). Produkt równoważny oferowany przez Wykonawcę musi być zgodny z wymaganiami określonymi przez producentów urządzeń. Dostarczone równoważne materiały eksploatacyjne nie mogą powodować ograniczeń funkcji i możliwości sprzętu oraz zaniżać jakości wydruku w stosunku do materiałów oryginalnych. Wymagana jest również pełna kompatybilność z oprogramowaniem sprzętu: informowanie o liczbie wydrukowanych stron, poziomie zużycia tonera, tuszu, głowicy – jeśli sprzęt posiada takie możliwości. W przypadku kiedy produkt oryginalny posiada układ scalony, który monitoruje proces druku, produkt równoważny winien posiadać analogiczny element działający w ten sam sposób.</w:t>
      </w:r>
    </w:p>
    <w:p w:rsidR="00EE0B8C" w:rsidRPr="00EE0B8C" w:rsidRDefault="00EE0B8C" w:rsidP="00EE0B8C">
      <w:pPr>
        <w:numPr>
          <w:ilvl w:val="0"/>
          <w:numId w:val="1"/>
        </w:numPr>
        <w:ind w:left="426" w:hanging="284"/>
        <w:jc w:val="both"/>
        <w:rPr>
          <w:rFonts w:ascii="Arial" w:hAnsi="Arial" w:cs="Arial"/>
          <w:sz w:val="20"/>
        </w:rPr>
      </w:pPr>
      <w:bookmarkStart w:id="0" w:name="_Hlk165847557"/>
      <w:r w:rsidRPr="00EE0B8C">
        <w:rPr>
          <w:rFonts w:ascii="Arial" w:hAnsi="Arial" w:cs="Arial"/>
          <w:sz w:val="20"/>
        </w:rPr>
        <w:t>W przypadku dostarczenia przez Wykonawcę produktów równoważnych, Wykonawca zobowiązany jest przedstawić Zamawiającemu</w:t>
      </w:r>
      <w:r w:rsidR="00301B7D">
        <w:rPr>
          <w:rFonts w:ascii="Arial" w:hAnsi="Arial" w:cs="Arial"/>
          <w:sz w:val="20"/>
        </w:rPr>
        <w:t xml:space="preserve"> (dołączyć do oferty)</w:t>
      </w:r>
      <w:r w:rsidRPr="00EE0B8C">
        <w:rPr>
          <w:rFonts w:ascii="Arial" w:hAnsi="Arial" w:cs="Arial"/>
          <w:sz w:val="20"/>
        </w:rPr>
        <w:t>:</w:t>
      </w:r>
    </w:p>
    <w:bookmarkEnd w:id="0"/>
    <w:p w:rsidR="00EE0B8C" w:rsidRPr="00EE0B8C" w:rsidRDefault="00EE0B8C" w:rsidP="00EE0B8C">
      <w:pPr>
        <w:numPr>
          <w:ilvl w:val="1"/>
          <w:numId w:val="2"/>
        </w:numPr>
        <w:ind w:left="709" w:hanging="283"/>
        <w:jc w:val="both"/>
        <w:rPr>
          <w:rFonts w:ascii="Arial" w:hAnsi="Arial" w:cs="Arial"/>
          <w:sz w:val="20"/>
        </w:rPr>
      </w:pPr>
      <w:r w:rsidRPr="00EE0B8C">
        <w:rPr>
          <w:rFonts w:ascii="Arial" w:hAnsi="Arial" w:cs="Arial"/>
          <w:sz w:val="20"/>
        </w:rPr>
        <w:t>potwierdzenia zgodności parametrów technicznych (raport z testów wydajności wykonany przez jednostkę niezależną od producenta, która posiada akredytację Polskiego Centrum Akredytacji), w tym wydajności określonych na podstawie norm ISO/IEC 19752 dla tonerów monochromatycznych, ISO/IEC 24711 i 24712 dla wkładów atramentowych, ISO/IEC 19798 dla tonerów kolorowych (lub norm równoważnych). Oświadczenie może zostać wystawione na grupę lub kilka rodzajów tuszów lub tonerów;</w:t>
      </w:r>
    </w:p>
    <w:p w:rsidR="00EE0B8C" w:rsidRPr="00EE0B8C" w:rsidRDefault="00EE0B8C" w:rsidP="00EE0B8C">
      <w:pPr>
        <w:numPr>
          <w:ilvl w:val="1"/>
          <w:numId w:val="2"/>
        </w:numPr>
        <w:ind w:left="709" w:hanging="283"/>
        <w:jc w:val="both"/>
        <w:rPr>
          <w:rFonts w:ascii="Arial" w:hAnsi="Arial" w:cs="Arial"/>
          <w:sz w:val="20"/>
        </w:rPr>
      </w:pPr>
      <w:r w:rsidRPr="00EE0B8C">
        <w:rPr>
          <w:rFonts w:ascii="Arial" w:hAnsi="Arial" w:cs="Arial"/>
          <w:sz w:val="20"/>
        </w:rPr>
        <w:t xml:space="preserve">certyfikat potwierdzający, że oferowane tusze, toner i inne materiały eksploatacyjne zostały wytworzone w systemie zarządzania jakością zgodnym z ISO 9001:2015 oraz ISO 14001:2015 lub normami równoważnymi, aktualny </w:t>
      </w:r>
      <w:r>
        <w:rPr>
          <w:rFonts w:ascii="Arial" w:hAnsi="Arial" w:cs="Arial"/>
          <w:sz w:val="20"/>
        </w:rPr>
        <w:t xml:space="preserve">na dzień </w:t>
      </w:r>
      <w:r w:rsidRPr="00EE0B8C">
        <w:rPr>
          <w:rFonts w:ascii="Arial" w:hAnsi="Arial" w:cs="Arial"/>
          <w:sz w:val="20"/>
        </w:rPr>
        <w:t>składania ofert;</w:t>
      </w:r>
    </w:p>
    <w:p w:rsidR="00A9719B" w:rsidRPr="00EE0B8C" w:rsidRDefault="00EE0B8C" w:rsidP="00EE0B8C">
      <w:pPr>
        <w:numPr>
          <w:ilvl w:val="1"/>
          <w:numId w:val="2"/>
        </w:numPr>
        <w:ind w:left="709" w:hanging="283"/>
        <w:jc w:val="both"/>
        <w:rPr>
          <w:rFonts w:ascii="Arial" w:hAnsi="Arial" w:cs="Arial"/>
          <w:sz w:val="20"/>
        </w:rPr>
      </w:pPr>
      <w:r w:rsidRPr="00EE0B8C">
        <w:rPr>
          <w:rFonts w:ascii="Arial" w:hAnsi="Arial" w:cs="Arial"/>
          <w:sz w:val="20"/>
        </w:rPr>
        <w:t xml:space="preserve">oświadczenie producenta tuszów, tonerów i innego materiału eksploatacyjnego, że dostarczane produkty równoważne są wyrobami fabrycznie nowymi, nieregenerowanymi, w pełni kompatybilnymi ze sprzętem, do którego są przeznaczone, o parametrach takich samych </w:t>
      </w:r>
      <w:r>
        <w:rPr>
          <w:rFonts w:ascii="Arial" w:hAnsi="Arial" w:cs="Arial"/>
          <w:sz w:val="20"/>
        </w:rPr>
        <w:br/>
      </w:r>
      <w:r w:rsidRPr="00EE0B8C">
        <w:rPr>
          <w:rFonts w:ascii="Arial" w:hAnsi="Arial" w:cs="Arial"/>
          <w:sz w:val="20"/>
        </w:rPr>
        <w:t>w stosunku do typu zamawianego produktu stanowiącego przedmiot zamówienia oraz że proces produkcji i stosowanie wyprodukowanych przez niego materiałów eksploatacyjnych nie narusza praw własności intelektualnej producentów oryginalnych materiałów eksploatacyjnych (tonerów, tuszów i kaset), jak również że użycie tego produktu do serwisowanych w ramach gwarancji urządzeń nie spowoduje uszkodzenia naruszającego warunki gwarancji lub utraty gwarancji takich urządzeń. </w:t>
      </w:r>
    </w:p>
    <w:p w:rsidR="004D7FE2" w:rsidRPr="00121BA6" w:rsidRDefault="00EE0B8C" w:rsidP="00EE0B8C">
      <w:pPr>
        <w:numPr>
          <w:ilvl w:val="0"/>
          <w:numId w:val="1"/>
        </w:numPr>
        <w:ind w:left="284" w:hanging="294"/>
        <w:jc w:val="both"/>
        <w:rPr>
          <w:rFonts w:ascii="Arial" w:hAnsi="Arial" w:cs="Arial"/>
          <w:sz w:val="20"/>
        </w:rPr>
      </w:pPr>
      <w:r w:rsidRPr="00EE0B8C">
        <w:rPr>
          <w:rFonts w:ascii="Arial" w:hAnsi="Arial" w:cs="Arial"/>
          <w:sz w:val="20"/>
        </w:rPr>
        <w:t>Zamawiający nie dopuszcza zaoferowania tonerów</w:t>
      </w:r>
      <w:r>
        <w:rPr>
          <w:rFonts w:ascii="Arial" w:hAnsi="Arial" w:cs="Arial"/>
          <w:sz w:val="20"/>
        </w:rPr>
        <w:t xml:space="preserve"> </w:t>
      </w:r>
      <w:r w:rsidRPr="00EE0B8C">
        <w:rPr>
          <w:rFonts w:ascii="Arial" w:hAnsi="Arial" w:cs="Arial"/>
          <w:sz w:val="20"/>
        </w:rPr>
        <w:t>połówkowych (tzw. starterów).</w:t>
      </w:r>
      <w:bookmarkStart w:id="1" w:name="_GoBack"/>
      <w:bookmarkEnd w:id="1"/>
    </w:p>
    <w:sectPr w:rsidR="004D7FE2" w:rsidRPr="00121BA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CF6" w:rsidRDefault="005D0CF6" w:rsidP="005D0CF6">
      <w:pPr>
        <w:spacing w:after="0" w:line="240" w:lineRule="auto"/>
      </w:pPr>
      <w:r>
        <w:separator/>
      </w:r>
    </w:p>
  </w:endnote>
  <w:endnote w:type="continuationSeparator" w:id="0">
    <w:p w:rsidR="005D0CF6" w:rsidRDefault="005D0CF6" w:rsidP="005D0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CF6" w:rsidRDefault="005D0CF6" w:rsidP="005D0CF6">
      <w:pPr>
        <w:spacing w:after="0" w:line="240" w:lineRule="auto"/>
      </w:pPr>
      <w:r>
        <w:separator/>
      </w:r>
    </w:p>
  </w:footnote>
  <w:footnote w:type="continuationSeparator" w:id="0">
    <w:p w:rsidR="005D0CF6" w:rsidRDefault="005D0CF6" w:rsidP="005D0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CF6" w:rsidRPr="005D0CF6" w:rsidRDefault="005D0CF6" w:rsidP="005D0CF6">
    <w:pPr>
      <w:pStyle w:val="Nagwek"/>
      <w:jc w:val="right"/>
      <w:rPr>
        <w:rFonts w:ascii="Arial" w:hAnsi="Arial" w:cs="Arial"/>
        <w:sz w:val="18"/>
      </w:rPr>
    </w:pPr>
    <w:r w:rsidRPr="005D0CF6">
      <w:rPr>
        <w:rFonts w:ascii="Arial" w:hAnsi="Arial" w:cs="Arial"/>
        <w:sz w:val="20"/>
      </w:rPr>
      <w:t>Załącznik nr 5 do ZO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4D89"/>
    <w:multiLevelType w:val="hybridMultilevel"/>
    <w:tmpl w:val="998E7A88"/>
    <w:lvl w:ilvl="0" w:tplc="0415000F">
      <w:start w:val="1"/>
      <w:numFmt w:val="decimal"/>
      <w:lvlText w:val="%1."/>
      <w:lvlJc w:val="left"/>
      <w:pPr>
        <w:ind w:left="720" w:hanging="360"/>
      </w:pPr>
    </w:lvl>
    <w:lvl w:ilvl="1" w:tplc="43FA48CE">
      <w:start w:val="1"/>
      <w:numFmt w:val="lowerLetter"/>
      <w:lvlText w:val="%2)"/>
      <w:lvlJc w:val="left"/>
      <w:pPr>
        <w:ind w:left="1440" w:hanging="360"/>
      </w:pPr>
      <w:rPr>
        <w:rFonts w:hint="default"/>
        <w:color w:val="1D1C1D"/>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43417F"/>
    <w:multiLevelType w:val="hybridMultilevel"/>
    <w:tmpl w:val="A1FE0898"/>
    <w:lvl w:ilvl="0" w:tplc="04150019">
      <w:start w:val="1"/>
      <w:numFmt w:val="lowerLetter"/>
      <w:lvlText w:val="%1."/>
      <w:lvlJc w:val="left"/>
      <w:pPr>
        <w:ind w:left="1440" w:hanging="360"/>
      </w:pPr>
    </w:lvl>
    <w:lvl w:ilvl="1" w:tplc="0E7E60BA">
      <w:start w:val="1"/>
      <w:numFmt w:val="lowerLetter"/>
      <w:lvlText w:val="%2."/>
      <w:lvlJc w:val="left"/>
      <w:pPr>
        <w:ind w:left="2160" w:hanging="360"/>
      </w:pPr>
      <w:rPr>
        <w:sz w:val="2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B8C"/>
    <w:rsid w:val="00121BA6"/>
    <w:rsid w:val="00301B7D"/>
    <w:rsid w:val="004D7FE2"/>
    <w:rsid w:val="005D0CF6"/>
    <w:rsid w:val="007D1EAD"/>
    <w:rsid w:val="00EE0B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D9C46"/>
  <w15:chartTrackingRefBased/>
  <w15:docId w15:val="{8680AD64-EDC1-4F0D-B288-1EB57C92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0C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0CF6"/>
  </w:style>
  <w:style w:type="paragraph" w:styleId="Stopka">
    <w:name w:val="footer"/>
    <w:basedOn w:val="Normalny"/>
    <w:link w:val="StopkaZnak"/>
    <w:uiPriority w:val="99"/>
    <w:unhideWhenUsed/>
    <w:rsid w:val="005D0C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0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44AD0-491F-4FEB-9656-937D431B8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560</Words>
  <Characters>3361</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Piszczatowska</dc:creator>
  <cp:keywords/>
  <dc:description/>
  <cp:lastModifiedBy>Edyta Piszczatowska</cp:lastModifiedBy>
  <cp:revision>3</cp:revision>
  <dcterms:created xsi:type="dcterms:W3CDTF">2024-05-02T20:43:00Z</dcterms:created>
  <dcterms:modified xsi:type="dcterms:W3CDTF">2024-05-05T22:50:00Z</dcterms:modified>
</cp:coreProperties>
</file>