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6D2C8A6C" w:rsidR="0000184A" w:rsidRPr="000719DC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411EEB" w:rsidRPr="00411EEB">
        <w:rPr>
          <w:b/>
          <w:sz w:val="22"/>
          <w:szCs w:val="22"/>
        </w:rPr>
        <w:t>Zakup i dostawa wyposażenia medycznego na potrzeby Podstawowej Opieki Zdrowotnej SP ZOZ w Łapach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411EEB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 xml:space="preserve">w zakresie  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051BF52D" w:rsidR="007A3A9F" w:rsidRDefault="00411EEB">
    <w:pPr>
      <w:pStyle w:val="Nagwek"/>
    </w:pPr>
    <w:r w:rsidRPr="00A94A49">
      <w:rPr>
        <w:rFonts w:eastAsia="SimSu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2AEBC749" wp14:editId="38CBCD66">
          <wp:extent cx="5759450" cy="641209"/>
          <wp:effectExtent l="0" t="0" r="0" b="6985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1EEB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135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18</cp:revision>
  <cp:lastPrinted>2010-01-07T09:39:00Z</cp:lastPrinted>
  <dcterms:created xsi:type="dcterms:W3CDTF">2021-03-01T11:44:00Z</dcterms:created>
  <dcterms:modified xsi:type="dcterms:W3CDTF">2022-02-17T13:50:00Z</dcterms:modified>
</cp:coreProperties>
</file>