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222AEA42" w14:textId="3C664677" w:rsidR="00E42F71" w:rsidRPr="00E42F71" w:rsidRDefault="000403CC" w:rsidP="00EB1B31">
      <w:pPr>
        <w:spacing w:line="240" w:lineRule="auto"/>
        <w:jc w:val="center"/>
        <w:rPr>
          <w:b/>
          <w:sz w:val="24"/>
          <w:szCs w:val="28"/>
        </w:rPr>
      </w:pPr>
      <w:r w:rsidRPr="00E42F71">
        <w:rPr>
          <w:b/>
          <w:sz w:val="24"/>
        </w:rPr>
        <w:t>„</w:t>
      </w:r>
      <w:r w:rsidR="00E42F71" w:rsidRPr="00E42F71">
        <w:rPr>
          <w:b/>
          <w:sz w:val="24"/>
          <w:szCs w:val="28"/>
        </w:rPr>
        <w:t xml:space="preserve">Wykonanie usługi przeglądów technicznych i konserwacji aparatury </w:t>
      </w:r>
    </w:p>
    <w:p w14:paraId="62D093F0" w14:textId="1EFDA03E" w:rsidR="006C6F41" w:rsidRPr="00342BFE" w:rsidRDefault="00E42F71" w:rsidP="00EB1B31">
      <w:pPr>
        <w:spacing w:line="240" w:lineRule="auto"/>
        <w:jc w:val="center"/>
        <w:rPr>
          <w:b/>
          <w:sz w:val="24"/>
        </w:rPr>
      </w:pPr>
      <w:r w:rsidRPr="00E42F71">
        <w:rPr>
          <w:b/>
          <w:sz w:val="24"/>
          <w:szCs w:val="28"/>
        </w:rPr>
        <w:t>i sprzętu medycznego SP ZOZ w Łapach</w:t>
      </w:r>
      <w:r w:rsidR="009103E7">
        <w:rPr>
          <w:b/>
          <w:sz w:val="24"/>
          <w:szCs w:val="28"/>
        </w:rPr>
        <w:t xml:space="preserve"> - uzupełnienie</w:t>
      </w:r>
      <w:r w:rsidR="000403CC" w:rsidRPr="00E42F71">
        <w:rPr>
          <w:b/>
          <w:sz w:val="24"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17300AAE" w:rsidR="00E30299" w:rsidRPr="00AC07F3" w:rsidRDefault="00E30299" w:rsidP="00683850">
      <w:pPr>
        <w:spacing w:line="276" w:lineRule="auto"/>
        <w:jc w:val="center"/>
      </w:pPr>
      <w:r w:rsidRPr="00201648">
        <w:t>(Znak postępowania: ZP/</w:t>
      </w:r>
      <w:r w:rsidR="009103E7">
        <w:t>35</w:t>
      </w:r>
      <w:r w:rsidRPr="00201648">
        <w:t>/202</w:t>
      </w:r>
      <w:r w:rsidR="00A33BCB" w:rsidRPr="00201648">
        <w:t>1</w:t>
      </w:r>
      <w:r w:rsidR="000403CC" w:rsidRPr="00201648">
        <w:t>/TP</w:t>
      </w:r>
      <w:r w:rsidRPr="0020164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77777777" w:rsidR="00E30299" w:rsidRPr="00201648" w:rsidRDefault="00E30299" w:rsidP="00683850">
      <w:pPr>
        <w:spacing w:line="276" w:lineRule="auto"/>
      </w:pPr>
    </w:p>
    <w:p w14:paraId="47FBDC5A" w14:textId="77777777" w:rsidR="00E30299" w:rsidRPr="00201648" w:rsidRDefault="00E30299" w:rsidP="00683850">
      <w:pPr>
        <w:spacing w:line="276" w:lineRule="auto"/>
        <w:jc w:val="center"/>
      </w:pPr>
    </w:p>
    <w:p w14:paraId="24414F6D" w14:textId="77777777" w:rsidR="00E30299" w:rsidRPr="00201648" w:rsidRDefault="00E30299" w:rsidP="00683850">
      <w:pPr>
        <w:spacing w:line="276" w:lineRule="auto"/>
        <w:jc w:val="center"/>
      </w:pPr>
    </w:p>
    <w:p w14:paraId="7890BD32" w14:textId="5C1CB536" w:rsidR="0049576F" w:rsidRDefault="00E30299" w:rsidP="00683850">
      <w:pPr>
        <w:spacing w:line="276" w:lineRule="auto"/>
        <w:jc w:val="center"/>
      </w:pPr>
      <w:r w:rsidRPr="00201648">
        <w:t xml:space="preserve">Łapy, dnia </w:t>
      </w:r>
      <w:r w:rsidR="009103E7">
        <w:t>30.09</w:t>
      </w:r>
      <w:r w:rsidRPr="00201648">
        <w:t>.202</w:t>
      </w:r>
      <w:r w:rsidR="00A33BCB" w:rsidRPr="00201648">
        <w:t>1</w:t>
      </w:r>
      <w:r w:rsidRPr="0020164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A23EDF">
        <w:t>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 xml:space="preserve">ie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361820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03E7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4FE79DBC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znakiem: </w:t>
      </w:r>
      <w:r w:rsidRPr="00201648">
        <w:rPr>
          <w:b/>
        </w:rPr>
        <w:t>ZP/</w:t>
      </w:r>
      <w:r w:rsidR="009103E7">
        <w:rPr>
          <w:b/>
        </w:rPr>
        <w:t>35</w:t>
      </w:r>
      <w:r w:rsidRPr="00201648">
        <w:rPr>
          <w:b/>
        </w:rPr>
        <w:t>/202</w:t>
      </w:r>
      <w:r w:rsidR="0072156B" w:rsidRPr="00201648">
        <w:rPr>
          <w:b/>
        </w:rPr>
        <w:t>1</w:t>
      </w:r>
      <w:r w:rsidR="000403CC" w:rsidRPr="00201648">
        <w:rPr>
          <w:b/>
        </w:rPr>
        <w:t>/TP</w:t>
      </w:r>
      <w:r w:rsidR="00133552" w:rsidRPr="00201648">
        <w:t xml:space="preserve">.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339BD791" w:rsidR="00E30299" w:rsidRPr="00465BAB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201648">
        <w:rPr>
          <w:rFonts w:eastAsiaTheme="minorHAnsi" w:cs="Calibri"/>
          <w:b/>
        </w:rPr>
        <w:t>„</w:t>
      </w:r>
      <w:r w:rsidR="00561E11" w:rsidRPr="00201648">
        <w:rPr>
          <w:rFonts w:eastAsiaTheme="minorHAnsi" w:cs="Calibri"/>
          <w:b/>
        </w:rPr>
        <w:t>Wykonanie usługi przeglądów technicznych i konserwacji aparatury i sprzętu medycznego SP ZOZ w Łapach</w:t>
      </w:r>
      <w:r w:rsidR="009103E7">
        <w:rPr>
          <w:rFonts w:eastAsiaTheme="minorHAnsi" w:cs="Calibri"/>
          <w:b/>
        </w:rPr>
        <w:t xml:space="preserve"> - uzupełnienie</w:t>
      </w:r>
      <w:r w:rsidR="008C579D" w:rsidRPr="00201648">
        <w:rPr>
          <w:rFonts w:eastAsiaTheme="minorHAnsi" w:cs="Calibri"/>
          <w:b/>
        </w:rPr>
        <w:t>”</w:t>
      </w:r>
      <w:r w:rsidR="008C579D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A23EDF" w:rsidRPr="00201648">
        <w:rPr>
          <w:rFonts w:eastAsiaTheme="minorHAnsi" w:cs="Calibri"/>
        </w:rPr>
        <w:t>6</w:t>
      </w:r>
      <w:r w:rsidR="001C7FA1" w:rsidRPr="00201648">
        <w:rPr>
          <w:rFonts w:eastAsiaTheme="minorHAnsi" w:cs="Calibri"/>
        </w:rPr>
        <w:t xml:space="preserve"> do S</w:t>
      </w:r>
      <w:r w:rsidR="00527073" w:rsidRPr="00201648">
        <w:rPr>
          <w:rFonts w:eastAsiaTheme="minorHAnsi" w:cs="Calibri"/>
        </w:rPr>
        <w:t xml:space="preserve">WZ - </w:t>
      </w:r>
      <w:r w:rsidR="009103E7">
        <w:rPr>
          <w:rFonts w:eastAsiaTheme="minorHAnsi" w:cs="Calibri"/>
        </w:rPr>
        <w:t>f</w:t>
      </w:r>
      <w:r w:rsidR="00527073" w:rsidRPr="00201648">
        <w:rPr>
          <w:rFonts w:eastAsiaTheme="minorHAnsi" w:cs="Calibri"/>
        </w:rPr>
        <w:t>ormularz asortymentowo-cenowy</w:t>
      </w:r>
      <w:r w:rsidR="00201648" w:rsidRPr="00201648">
        <w:rPr>
          <w:rFonts w:eastAsiaTheme="minorHAnsi" w:cs="Calibri"/>
        </w:rPr>
        <w:t>)</w:t>
      </w:r>
      <w:r w:rsidR="005173FA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</w:rPr>
        <w:t xml:space="preserve"> z uwzględnieniem podziału </w:t>
      </w:r>
      <w:r w:rsidR="001C7FA1" w:rsidRPr="00201648">
        <w:rPr>
          <w:rFonts w:eastAsiaTheme="minorHAnsi" w:cs="Calibri"/>
        </w:rPr>
        <w:t xml:space="preserve">na pakiety od nr 1 do </w:t>
      </w:r>
      <w:r w:rsidR="009103E7">
        <w:rPr>
          <w:rFonts w:eastAsiaTheme="minorHAnsi" w:cs="Calibri"/>
        </w:rPr>
        <w:t>1</w:t>
      </w:r>
      <w:r w:rsidR="00561E11" w:rsidRPr="00201648">
        <w:rPr>
          <w:rFonts w:eastAsiaTheme="minorHAnsi" w:cs="Calibri"/>
        </w:rPr>
        <w:t>8</w:t>
      </w:r>
      <w:r w:rsidR="00527073" w:rsidRPr="00201648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7CA9935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 xml:space="preserve">Wykonawca może złożyć ofertę na jeden pakiet zamówienia, kilka z nich lub na całość zamówienia. Oferta musi być kompletna w zakresie poszczególnych pakietów zamówienia. Nieuwzględnienie w danym pakiecie, </w:t>
      </w:r>
      <w:r w:rsidR="009103E7">
        <w:br/>
      </w:r>
      <w:r w:rsidR="0064141F">
        <w:t>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60FBDD08" w14:textId="77777777" w:rsidR="00AA5FC1" w:rsidRPr="00201648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4BF839AA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50421000-2 - usługi w zakresie napraw i konserwacji sprzętu medycznego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9103E7" w:rsidRPr="009103E7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z dnia 30 grudnia 2020 r. w sprawie sposobu sporządzania i przekazywania informacji oraz wymagań technicznych dla dokumentów elektronicznych oraz środków komunikacji elektronicznej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0A27DA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9103E7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5" w:history="1">
        <w:r w:rsidR="009103E7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62980E7C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66E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66E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66E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B66E1A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B66E1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B66E1A" w:rsidRPr="00B66E1A">
        <w:rPr>
          <w:rFonts w:asciiTheme="minorHAnsi" w:hAnsiTheme="minorHAnsi" w:cstheme="minorHAnsi"/>
          <w:b/>
          <w:color w:val="auto"/>
          <w:sz w:val="22"/>
          <w:szCs w:val="22"/>
        </w:rPr>
        <w:t>5.11</w:t>
      </w:r>
      <w:r w:rsidR="00435359" w:rsidRPr="00B66E1A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B66E1A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47555AC9" w:rsidR="00F26B7A" w:rsidRPr="00F26B7A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podpis zaufany o którym mowa w art. 3 pkt. 14a ustawy z 17 lutego 2005 r. </w:t>
      </w:r>
      <w:r w:rsidR="00F26B7A" w:rsidRPr="00F26B7A">
        <w:rPr>
          <w:i/>
        </w:rPr>
        <w:t>o informatyzacji działalności podmiotów realizujących zadania publiczne (t.j Dz.U.2020 poz. 346);</w:t>
      </w:r>
    </w:p>
    <w:p w14:paraId="57FADE98" w14:textId="725C6322" w:rsidR="00F26B7A" w:rsidRDefault="00AD219F" w:rsidP="00F26B7A">
      <w:pPr>
        <w:spacing w:after="0" w:line="276" w:lineRule="auto"/>
        <w:jc w:val="both"/>
        <w:rPr>
          <w:i/>
        </w:rPr>
      </w:pPr>
      <w:r>
        <w:t>c)</w:t>
      </w:r>
      <w:r w:rsidR="00F26B7A" w:rsidRPr="00F26B7A">
        <w:t xml:space="preserve"> podpis osobisty o którym mowa w art. z art. 2 ust. 1 pkt. 9 ustawy z 6 sierpnia 2010 r.</w:t>
      </w:r>
      <w:r w:rsidR="00F26B7A" w:rsidRPr="00F26B7A">
        <w:rPr>
          <w:i/>
        </w:rPr>
        <w:t xml:space="preserve"> o dowodach osobistych (t.j Dz.U.2020 poz. 332).</w:t>
      </w:r>
    </w:p>
    <w:p w14:paraId="1343ACD9" w14:textId="77777777" w:rsidR="00AD219F" w:rsidRDefault="00AD219F" w:rsidP="00F26B7A">
      <w:pPr>
        <w:spacing w:after="0" w:line="276" w:lineRule="auto"/>
        <w:jc w:val="both"/>
        <w:rPr>
          <w:i/>
        </w:rPr>
      </w:pP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>a) dokumenty w formacie „pdf" zaleca się podpisywać formatem PAdES,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A30BD3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524131A8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Ofertę wraz z wymaganymi załącznikami </w:t>
      </w:r>
      <w:r w:rsidRPr="00201648">
        <w:rPr>
          <w:b/>
          <w:u w:val="single"/>
        </w:rPr>
        <w:t xml:space="preserve">należy złożyć w </w:t>
      </w:r>
      <w:r w:rsidRPr="009103E7">
        <w:rPr>
          <w:b/>
          <w:u w:val="single"/>
        </w:rPr>
        <w:t xml:space="preserve">terminie do dnia </w:t>
      </w:r>
      <w:r w:rsidR="009103E7" w:rsidRPr="009103E7">
        <w:rPr>
          <w:b/>
          <w:u w:val="single"/>
        </w:rPr>
        <w:t>8.10</w:t>
      </w:r>
      <w:r w:rsidR="00AF0DA0" w:rsidRPr="009103E7">
        <w:rPr>
          <w:b/>
          <w:u w:val="single"/>
        </w:rPr>
        <w:t>.2021 r</w:t>
      </w:r>
      <w:r w:rsidR="00C9337A" w:rsidRPr="009103E7">
        <w:rPr>
          <w:b/>
          <w:u w:val="single"/>
        </w:rPr>
        <w:t>.</w:t>
      </w:r>
      <w:r w:rsidR="00917C70" w:rsidRPr="009103E7">
        <w:rPr>
          <w:b/>
          <w:u w:val="single"/>
        </w:rPr>
        <w:t xml:space="preserve">, </w:t>
      </w:r>
      <w:r w:rsidR="00AF0DA0" w:rsidRPr="00201648">
        <w:rPr>
          <w:b/>
          <w:u w:val="single"/>
        </w:rPr>
        <w:br/>
      </w:r>
      <w:r w:rsidR="00917C70" w:rsidRPr="00201648">
        <w:rPr>
          <w:b/>
          <w:u w:val="single"/>
        </w:rPr>
        <w:t xml:space="preserve">do godz. </w:t>
      </w:r>
      <w:r w:rsidR="007775DB" w:rsidRPr="00201648">
        <w:rPr>
          <w:b/>
          <w:u w:val="single"/>
        </w:rPr>
        <w:t>1</w:t>
      </w:r>
      <w:r w:rsidR="00201648" w:rsidRPr="00201648">
        <w:rPr>
          <w:b/>
          <w:u w:val="single"/>
        </w:rPr>
        <w:t>1</w:t>
      </w:r>
      <w:r w:rsidR="006A748A" w:rsidRPr="00201648">
        <w:rPr>
          <w:b/>
          <w:u w:val="single"/>
        </w:rPr>
        <w:t>:</w:t>
      </w:r>
      <w:r w:rsidR="009103E7">
        <w:rPr>
          <w:b/>
          <w:u w:val="single"/>
        </w:rPr>
        <w:t>00</w:t>
      </w:r>
      <w:r w:rsidRPr="00201648">
        <w:rPr>
          <w:b/>
          <w:u w:val="single"/>
        </w:rPr>
        <w:t xml:space="preserve">. </w:t>
      </w:r>
    </w:p>
    <w:p w14:paraId="1A7DE85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może złożyć tylko jedną ofertę. </w:t>
      </w:r>
    </w:p>
    <w:p w14:paraId="6B47A56D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Zamawiający odrzuci ofertę złożoną po terminie składania ofert. </w:t>
      </w:r>
    </w:p>
    <w:p w14:paraId="36A2338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po przesłaniu oferty za pomocą Formularza do złożenia lub wycofania oferty </w:t>
      </w:r>
      <w:r w:rsidR="00DC1118" w:rsidRPr="00201648">
        <w:br/>
      </w:r>
      <w:r w:rsidRPr="00201648">
        <w:t xml:space="preserve">na „ekranie sukcesu” otrzyma numer oferty generowany przez ePUAP. Ten numer należy zapisać </w:t>
      </w:r>
      <w:r w:rsidR="00AB70A0" w:rsidRPr="00201648">
        <w:br/>
      </w:r>
      <w:r w:rsidRPr="00201648">
        <w:t xml:space="preserve">i zachować. Będzie on potrzebny w razie ewentualnego wycofania oferty. </w:t>
      </w:r>
    </w:p>
    <w:p w14:paraId="07A03989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po upływie terminu do składania ofert nie może wycofać złożonej oferty.</w:t>
      </w:r>
    </w:p>
    <w:p w14:paraId="32901547" w14:textId="77777777" w:rsidR="00954CF2" w:rsidRPr="0020164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1648">
        <w:rPr>
          <w:rFonts w:ascii="Calibri" w:hAnsi="Calibri"/>
          <w:sz w:val="26"/>
          <w:szCs w:val="26"/>
        </w:rPr>
        <w:t>Rozdział 1</w:t>
      </w:r>
      <w:r w:rsidR="00A33BCB" w:rsidRPr="00201648">
        <w:rPr>
          <w:rFonts w:ascii="Calibri" w:hAnsi="Calibri"/>
          <w:sz w:val="26"/>
          <w:szCs w:val="26"/>
        </w:rPr>
        <w:t>2</w:t>
      </w:r>
      <w:r w:rsidRPr="00201648">
        <w:rPr>
          <w:rFonts w:ascii="Calibri" w:hAnsi="Calibri"/>
          <w:sz w:val="26"/>
          <w:szCs w:val="26"/>
        </w:rPr>
        <w:t xml:space="preserve"> </w:t>
      </w:r>
      <w:r w:rsidRPr="0020164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7575BBF4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</w:t>
      </w:r>
      <w:r w:rsidRPr="00201648">
        <w:rPr>
          <w:b/>
          <w:u w:val="single"/>
        </w:rPr>
        <w:t>n</w:t>
      </w:r>
      <w:r w:rsidRPr="009103E7">
        <w:rPr>
          <w:b/>
          <w:u w:val="single"/>
        </w:rPr>
        <w:t xml:space="preserve">astąpi w dniu </w:t>
      </w:r>
      <w:r w:rsidR="009103E7" w:rsidRPr="009103E7">
        <w:rPr>
          <w:b/>
          <w:u w:val="single"/>
        </w:rPr>
        <w:t>8.10</w:t>
      </w:r>
      <w:r w:rsidR="00943149" w:rsidRPr="009103E7">
        <w:rPr>
          <w:b/>
          <w:u w:val="single"/>
        </w:rPr>
        <w:t>.</w:t>
      </w:r>
      <w:r w:rsidR="00917C70" w:rsidRPr="009103E7">
        <w:rPr>
          <w:b/>
          <w:u w:val="single"/>
        </w:rPr>
        <w:t xml:space="preserve">2021 r., o godzinie </w:t>
      </w:r>
      <w:r w:rsidR="00917C70" w:rsidRPr="00201648">
        <w:rPr>
          <w:b/>
          <w:u w:val="single"/>
        </w:rPr>
        <w:t>1</w:t>
      </w:r>
      <w:r w:rsidR="00201648" w:rsidRPr="00201648">
        <w:rPr>
          <w:b/>
          <w:u w:val="single"/>
        </w:rPr>
        <w:t>2</w:t>
      </w:r>
      <w:r w:rsidR="00CB5746" w:rsidRPr="00201648">
        <w:rPr>
          <w:b/>
          <w:u w:val="single"/>
        </w:rPr>
        <w:t>:</w:t>
      </w:r>
      <w:r w:rsidR="009103E7">
        <w:rPr>
          <w:b/>
          <w:u w:val="single"/>
        </w:rPr>
        <w:t>0</w:t>
      </w:r>
      <w:r w:rsidR="00917C70" w:rsidRPr="00201648">
        <w:rPr>
          <w:b/>
          <w:u w:val="single"/>
        </w:rPr>
        <w:t>0.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E26F4E4" w14:textId="77777777" w:rsidR="00E4637E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b) uprawnie</w:t>
      </w:r>
      <w:r w:rsidRPr="00F87741">
        <w:rPr>
          <w:rFonts w:asciiTheme="minorHAnsi" w:eastAsia="TimesNewRoman" w:hAnsiTheme="minorHAnsi" w:cstheme="minorHAnsi"/>
          <w:szCs w:val="20"/>
        </w:rPr>
        <w:t xml:space="preserve">ń </w:t>
      </w:r>
      <w:r w:rsidRPr="00F87741">
        <w:rPr>
          <w:rFonts w:asciiTheme="minorHAnsi" w:eastAsiaTheme="minorHAnsi" w:hAnsiTheme="minorHAnsi" w:cstheme="minorHAnsi"/>
          <w:szCs w:val="20"/>
        </w:rPr>
        <w:t>do prowadzenia okre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lonej działalno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F87741">
        <w:rPr>
          <w:rFonts w:asciiTheme="minorHAnsi" w:eastAsiaTheme="minorHAnsi" w:hAnsiTheme="minorHAnsi" w:cstheme="minorHAnsi"/>
          <w:szCs w:val="20"/>
        </w:rPr>
        <w:br/>
        <w:t>to z odr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bnych przepisów: </w:t>
      </w:r>
    </w:p>
    <w:p w14:paraId="2EE1B67F" w14:textId="77777777" w:rsidR="002E49FC" w:rsidRPr="00F87741" w:rsidRDefault="002E49FC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2A5A04CF" w14:textId="6ACC0DA2" w:rsidR="002E49FC" w:rsidRDefault="002E49FC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2E49FC">
        <w:rPr>
          <w:rFonts w:asciiTheme="minorHAnsi" w:eastAsiaTheme="minorHAnsi" w:hAnsiTheme="minorHAnsi" w:cstheme="minorHAnsi"/>
          <w:b/>
          <w:szCs w:val="20"/>
        </w:rPr>
        <w:t xml:space="preserve">Zamawiający wymaga, aby Wykonawca posiadał niezbędne uprawnienia do prawidłowej </w:t>
      </w:r>
      <w:r>
        <w:rPr>
          <w:rFonts w:asciiTheme="minorHAnsi" w:eastAsiaTheme="minorHAnsi" w:hAnsiTheme="minorHAnsi" w:cstheme="minorHAnsi"/>
          <w:b/>
          <w:szCs w:val="20"/>
        </w:rPr>
        <w:br/>
      </w:r>
      <w:bookmarkStart w:id="0" w:name="_GoBack"/>
      <w:bookmarkEnd w:id="0"/>
      <w:r w:rsidRPr="002E49FC">
        <w:rPr>
          <w:rFonts w:asciiTheme="minorHAnsi" w:eastAsiaTheme="minorHAnsi" w:hAnsiTheme="minorHAnsi" w:cstheme="minorHAnsi"/>
          <w:b/>
          <w:szCs w:val="20"/>
        </w:rPr>
        <w:t>i bezpiecznej fachowej instalacji, okresowej konserwacji, okresowej lub doraźnej obsługi serwisowej, aktualizacji oprogramowania, okresowych lub doraźnych przeglądów, regulacji, kalibracji, wzorcowań, sprawdzeń lub kontroli bezpieczeństwa sprzętu i aparatury medycznej.</w:t>
      </w:r>
    </w:p>
    <w:p w14:paraId="74861654" w14:textId="5A775416" w:rsidR="00416A5A" w:rsidRPr="001A7B1B" w:rsidRDefault="00416A5A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t>df, .doc, docx</w:t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6166B369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1B2CA484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>na teryto</w:t>
      </w:r>
      <w:r w:rsidR="009103E7">
        <w:t>rium Rzeczypospolitej Polskiej,</w:t>
      </w:r>
      <w:r>
        <w:t xml:space="preserve">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2A3E4AFC" w:rsidR="00E72B6F" w:rsidRPr="0020164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201648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7273913B" w14:textId="3E46F8A0" w:rsidR="004C34BA" w:rsidRPr="00B36E40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</w:pPr>
      <w:r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4C34BA"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dowodowe: (jeżeli</w:t>
      </w:r>
      <w:r w:rsidR="004C34BA" w:rsidRPr="00B36E40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dotyczy)</w:t>
      </w:r>
      <w:r w:rsidR="005C45DB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– Zamawiający nie wymaga;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3D9B4AA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B66E1A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46F75214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226252E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B00FFE">
        <w:rPr>
          <w:rFonts w:eastAsiaTheme="minorHAnsi" w:cs="Calibri"/>
          <w:b/>
          <w:bCs/>
        </w:rPr>
        <w:t>6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65F35D6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B00FFE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2776309A" w:rsidR="00AE5401" w:rsidRPr="001D6E3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B00FFE" w:rsidRPr="001D6E39">
        <w:rPr>
          <w:rFonts w:asciiTheme="minorHAnsi" w:hAnsiTheme="minorHAnsi"/>
        </w:rPr>
        <w:t>6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3590A21" w14:textId="6D7C817E" w:rsidR="00B00FFE" w:rsidRPr="001D6E39" w:rsidRDefault="00201648" w:rsidP="00201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1D6E39">
        <w:rPr>
          <w:rFonts w:eastAsiaTheme="minorHAnsi" w:cs="Calibri"/>
          <w:b/>
          <w:bCs/>
        </w:rPr>
        <w:t>Kalkulacja kosztów naprawy urządzenia w przypadku stwierdzenia awarii/usterki w trakcie przeglądu (usługa + części) – 20 pkt</w:t>
      </w:r>
    </w:p>
    <w:p w14:paraId="42D80625" w14:textId="77777777" w:rsidR="00201648" w:rsidRPr="001D6E39" w:rsidRDefault="00201648" w:rsidP="00201648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0F5DA18D" w14:textId="70C13054" w:rsidR="00201648" w:rsidRPr="001D6E39" w:rsidRDefault="00201648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1D6E39">
        <w:rPr>
          <w:rFonts w:eastAsiaTheme="minorHAnsi" w:cs="Calibri"/>
          <w:bCs/>
        </w:rPr>
        <w:t>W formularzu ofertowym</w:t>
      </w:r>
      <w:r w:rsidR="001D6E39" w:rsidRPr="001D6E39">
        <w:rPr>
          <w:rFonts w:eastAsiaTheme="minorHAnsi" w:cs="Calibri"/>
          <w:bCs/>
        </w:rPr>
        <w:t xml:space="preserve"> (zał. nr 1 do SWZ) w zakresie danego pakietu</w:t>
      </w:r>
      <w:r w:rsidRPr="001D6E39">
        <w:rPr>
          <w:rFonts w:eastAsiaTheme="minorHAnsi" w:cs="Calibri"/>
          <w:bCs/>
        </w:rPr>
        <w:t xml:space="preserve"> </w:t>
      </w:r>
      <w:r w:rsidR="001D6E39" w:rsidRPr="001D6E39">
        <w:rPr>
          <w:rFonts w:eastAsiaTheme="minorHAnsi" w:cs="Calibri"/>
          <w:bCs/>
        </w:rPr>
        <w:t xml:space="preserve">należy wskazać czy Wykonawca spełnia powyższe kryterium. W przypadku spełnienia tego kryterium Wykonawca </w:t>
      </w:r>
      <w:r w:rsidR="00EB1B31">
        <w:rPr>
          <w:rFonts w:eastAsiaTheme="minorHAnsi" w:cs="Calibri"/>
          <w:bCs/>
        </w:rPr>
        <w:t xml:space="preserve">dokona skreślenia zapisu „NIE” oraz pozostawi </w:t>
      </w:r>
      <w:r w:rsidR="001D6E39" w:rsidRPr="001D6E39">
        <w:rPr>
          <w:rFonts w:eastAsiaTheme="minorHAnsi" w:cs="Calibri"/>
          <w:bCs/>
        </w:rPr>
        <w:t xml:space="preserve">zapis </w:t>
      </w:r>
      <w:r w:rsidR="001D6E39" w:rsidRPr="001D6E39">
        <w:rPr>
          <w:rFonts w:eastAsiaTheme="minorHAnsi" w:cs="Calibri"/>
          <w:bCs/>
          <w:color w:val="FF0000"/>
        </w:rPr>
        <w:t>„</w:t>
      </w:r>
      <w:r w:rsidR="001D6E39" w:rsidRPr="00EB1B31">
        <w:rPr>
          <w:rFonts w:eastAsiaTheme="minorHAnsi" w:cs="Calibri"/>
          <w:b/>
          <w:bCs/>
          <w:color w:val="FF0000"/>
        </w:rPr>
        <w:t>TAK</w:t>
      </w:r>
      <w:r w:rsidR="001D6E39" w:rsidRPr="001D6E39">
        <w:rPr>
          <w:rFonts w:eastAsiaTheme="minorHAnsi" w:cs="Calibri"/>
          <w:bCs/>
          <w:color w:val="FF0000"/>
        </w:rPr>
        <w:t>”</w:t>
      </w:r>
      <w:r w:rsidR="00A5531B">
        <w:rPr>
          <w:rFonts w:eastAsiaTheme="minorHAnsi" w:cs="Calibri"/>
          <w:bCs/>
          <w:color w:val="FF0000"/>
        </w:rPr>
        <w:t xml:space="preserve"> – </w:t>
      </w:r>
      <w:r w:rsidR="00A5531B">
        <w:rPr>
          <w:rFonts w:eastAsiaTheme="minorHAnsi" w:cs="Calibri"/>
          <w:bCs/>
        </w:rPr>
        <w:t>oferta otrzyma 20 punktów w ramach tego kryterium</w:t>
      </w:r>
      <w:r w:rsidR="001D6E39" w:rsidRPr="001D6E39">
        <w:rPr>
          <w:rFonts w:eastAsiaTheme="minorHAnsi" w:cs="Calibri"/>
          <w:bCs/>
        </w:rPr>
        <w:t xml:space="preserve">. Jeśli </w:t>
      </w:r>
      <w:r w:rsidR="00EB1B31">
        <w:rPr>
          <w:rFonts w:eastAsiaTheme="minorHAnsi" w:cs="Calibri"/>
          <w:bCs/>
        </w:rPr>
        <w:t xml:space="preserve">Wykonawca dokona skreślenia zapisu „TAK” i pozostawi zapis „NIE”, </w:t>
      </w:r>
      <w:r w:rsidR="001D6E39" w:rsidRPr="001D6E39">
        <w:rPr>
          <w:rFonts w:eastAsiaTheme="minorHAnsi" w:cs="Calibri"/>
          <w:bCs/>
        </w:rPr>
        <w:t xml:space="preserve">Zamawiający uzna, iż Wykonawca nie spełnia powyższego kryterium i w zakresie tego kryterium oferta otrzyma 0 pkt. </w:t>
      </w:r>
    </w:p>
    <w:p w14:paraId="59E64823" w14:textId="77777777" w:rsidR="00B00FFE" w:rsidRPr="001D6E39" w:rsidRDefault="00B00FFE" w:rsidP="00B00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C334282" w14:textId="512086A3" w:rsidR="00B00FFE" w:rsidRPr="001D6E39" w:rsidRDefault="00201648" w:rsidP="002016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1D6E39">
        <w:rPr>
          <w:rFonts w:asciiTheme="minorHAnsi" w:hAnsiTheme="minorHAnsi"/>
          <w:b/>
        </w:rPr>
        <w:t xml:space="preserve">Kalkulacja kosztów naprawy w siedzibie Zamawiającego w przypadku awarii/usterki urządzenia ujętego w umowie, poza przeglądem, na wezwanie Zamawiającego </w:t>
      </w:r>
      <w:r w:rsidRPr="001D6E39">
        <w:rPr>
          <w:rFonts w:asciiTheme="minorHAnsi" w:hAnsiTheme="minorHAnsi"/>
          <w:b/>
        </w:rPr>
        <w:br/>
        <w:t>(usługa + części) – 20 pkt</w:t>
      </w:r>
    </w:p>
    <w:p w14:paraId="545CE96D" w14:textId="3566CEBB" w:rsidR="00EB1B31" w:rsidRPr="00EB1B31" w:rsidRDefault="00EB1B31" w:rsidP="00EB1B3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EB1B31">
        <w:rPr>
          <w:rFonts w:eastAsiaTheme="minorHAnsi" w:cs="Calibri"/>
          <w:bCs/>
        </w:rPr>
        <w:t xml:space="preserve">W formularzu ofertowym (zał. nr 1 do SWZ) w zakresie danego pakietu należy wskazać czy Wykonawca spełnia powyższe kryterium. W przypadku spełnienia tego kryterium Wykonawca dokona skreślenia </w:t>
      </w:r>
      <w:r>
        <w:rPr>
          <w:rFonts w:eastAsiaTheme="minorHAnsi" w:cs="Calibri"/>
          <w:bCs/>
        </w:rPr>
        <w:t xml:space="preserve">zapisu </w:t>
      </w:r>
      <w:r w:rsidRPr="00EB1B31">
        <w:rPr>
          <w:rFonts w:eastAsiaTheme="minorHAnsi" w:cs="Calibri"/>
          <w:bCs/>
        </w:rPr>
        <w:t xml:space="preserve">„NIE” oraz pozostawi zapis </w:t>
      </w:r>
      <w:r w:rsidRPr="00EB1B31">
        <w:rPr>
          <w:rFonts w:eastAsiaTheme="minorHAnsi" w:cs="Calibri"/>
          <w:bCs/>
          <w:color w:val="FF0000"/>
        </w:rPr>
        <w:t>„</w:t>
      </w:r>
      <w:r w:rsidRPr="00EB1B31">
        <w:rPr>
          <w:rFonts w:eastAsiaTheme="minorHAnsi" w:cs="Calibri"/>
          <w:b/>
          <w:bCs/>
          <w:color w:val="FF0000"/>
        </w:rPr>
        <w:t>TAK</w:t>
      </w:r>
      <w:r w:rsidRPr="00EB1B31">
        <w:rPr>
          <w:rFonts w:eastAsiaTheme="minorHAnsi" w:cs="Calibri"/>
          <w:bCs/>
          <w:color w:val="FF0000"/>
        </w:rPr>
        <w:t>”</w:t>
      </w:r>
      <w:r w:rsidR="00A5531B" w:rsidRPr="00A5531B">
        <w:rPr>
          <w:rFonts w:eastAsiaTheme="minorHAnsi" w:cs="Calibri"/>
          <w:bCs/>
          <w:color w:val="FF0000"/>
        </w:rPr>
        <w:t xml:space="preserve"> </w:t>
      </w:r>
      <w:r w:rsidR="00A5531B">
        <w:rPr>
          <w:rFonts w:eastAsiaTheme="minorHAnsi" w:cs="Calibri"/>
          <w:bCs/>
          <w:color w:val="FF0000"/>
        </w:rPr>
        <w:t xml:space="preserve">– </w:t>
      </w:r>
      <w:r w:rsidR="00A5531B">
        <w:rPr>
          <w:rFonts w:eastAsiaTheme="minorHAnsi" w:cs="Calibri"/>
          <w:bCs/>
        </w:rPr>
        <w:t>oferta otrzyma 20 punktów w ramach kryterium</w:t>
      </w:r>
      <w:r w:rsidRPr="00EB1B31">
        <w:rPr>
          <w:rFonts w:eastAsiaTheme="minorHAnsi" w:cs="Calibri"/>
          <w:bCs/>
        </w:rPr>
        <w:t xml:space="preserve">. Jeśli Wykonawca dokona skreślenia zapisu „TAK” i pozostawi zapis „NIE”, Zamawiający uzna, iż Wykonawca nie spełnia powyższego kryterium i w zakresie tego kryterium oferta otrzyma 0 pkt. </w:t>
      </w:r>
    </w:p>
    <w:p w14:paraId="79A64568" w14:textId="77777777" w:rsidR="001D6E39" w:rsidRPr="001D6E39" w:rsidRDefault="001D6E39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65B3747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 w:rsidR="00201648">
        <w:t xml:space="preserve"> (punkty a + b + c)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3D7BEE">
        <w:t>,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 w terminie nie krótszym niż 5 dni od dnia przesłania zawiadomienia o wyborze najkorzystniejszej oferty, jeżeli zawiadomienie to zostało przesłane przy użyciu środków komunikacji elektronicznej, albo 1</w:t>
      </w:r>
      <w:r w:rsidR="005D75DF">
        <w:t>0</w:t>
      </w:r>
      <w:r>
        <w:t xml:space="preserve">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249336BB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A64"/>
    <w:rsid w:val="000C2A07"/>
    <w:rsid w:val="000D284F"/>
    <w:rsid w:val="000D75E6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A0B8F"/>
    <w:rsid w:val="002A7E03"/>
    <w:rsid w:val="002B3DF9"/>
    <w:rsid w:val="002E49FC"/>
    <w:rsid w:val="002E79C9"/>
    <w:rsid w:val="0031557C"/>
    <w:rsid w:val="00316029"/>
    <w:rsid w:val="00332935"/>
    <w:rsid w:val="00342BFE"/>
    <w:rsid w:val="00343DAE"/>
    <w:rsid w:val="00353827"/>
    <w:rsid w:val="0035659D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40901"/>
    <w:rsid w:val="007672FE"/>
    <w:rsid w:val="007775DB"/>
    <w:rsid w:val="007A6B82"/>
    <w:rsid w:val="007D394C"/>
    <w:rsid w:val="007E44CF"/>
    <w:rsid w:val="007F0A0F"/>
    <w:rsid w:val="00812222"/>
    <w:rsid w:val="00821780"/>
    <w:rsid w:val="008244A9"/>
    <w:rsid w:val="008340D0"/>
    <w:rsid w:val="00852CD6"/>
    <w:rsid w:val="00882DC9"/>
    <w:rsid w:val="00894A18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15884"/>
    <w:rsid w:val="00B20EC2"/>
    <w:rsid w:val="00B320B0"/>
    <w:rsid w:val="00B36E40"/>
    <w:rsid w:val="00B66E1A"/>
    <w:rsid w:val="00B878EC"/>
    <w:rsid w:val="00B97F26"/>
    <w:rsid w:val="00BB2E07"/>
    <w:rsid w:val="00BB44BF"/>
    <w:rsid w:val="00BB4F9B"/>
    <w:rsid w:val="00BB61B0"/>
    <w:rsid w:val="00BC2F26"/>
    <w:rsid w:val="00BE5C53"/>
    <w:rsid w:val="00BF7D68"/>
    <w:rsid w:val="00C06679"/>
    <w:rsid w:val="00C06E57"/>
    <w:rsid w:val="00C401AF"/>
    <w:rsid w:val="00C447BE"/>
    <w:rsid w:val="00C75BB0"/>
    <w:rsid w:val="00C903DC"/>
    <w:rsid w:val="00C9337A"/>
    <w:rsid w:val="00CA40B7"/>
    <w:rsid w:val="00CB5746"/>
    <w:rsid w:val="00CD4588"/>
    <w:rsid w:val="00CD5029"/>
    <w:rsid w:val="00D07115"/>
    <w:rsid w:val="00D10360"/>
    <w:rsid w:val="00D30671"/>
    <w:rsid w:val="00D36DE1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EE9"/>
    <w:rsid w:val="00E1642E"/>
    <w:rsid w:val="00E2161F"/>
    <w:rsid w:val="00E24E79"/>
    <w:rsid w:val="00E30299"/>
    <w:rsid w:val="00E42F71"/>
    <w:rsid w:val="00E43099"/>
    <w:rsid w:val="00E4637E"/>
    <w:rsid w:val="00E64715"/>
    <w:rsid w:val="00E72B6F"/>
    <w:rsid w:val="00E756AE"/>
    <w:rsid w:val="00E75F9B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3B71-7CD2-4CDD-85FA-ED14311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17</Pages>
  <Words>6222</Words>
  <Characters>37333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25</cp:revision>
  <cp:lastPrinted>2021-07-28T07:42:00Z</cp:lastPrinted>
  <dcterms:created xsi:type="dcterms:W3CDTF">2021-07-28T06:54:00Z</dcterms:created>
  <dcterms:modified xsi:type="dcterms:W3CDTF">2021-09-30T09:36:00Z</dcterms:modified>
</cp:coreProperties>
</file>