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EFF2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07B0F462" w14:textId="357554BE" w:rsidR="006C6F41" w:rsidRPr="000403CC" w:rsidRDefault="000403CC" w:rsidP="00594C27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594C27" w:rsidRPr="00594C27">
        <w:rPr>
          <w:b/>
          <w:sz w:val="24"/>
        </w:rPr>
        <w:t xml:space="preserve">Zakup i dostawa systemu neuromonitoringu śródoperacyjnego </w:t>
      </w:r>
      <w:r w:rsidR="00594C27">
        <w:rPr>
          <w:b/>
          <w:sz w:val="24"/>
        </w:rPr>
        <w:br/>
      </w:r>
      <w:r w:rsidR="00594C27" w:rsidRPr="00594C27">
        <w:rPr>
          <w:b/>
          <w:sz w:val="24"/>
        </w:rPr>
        <w:t>na potrzeby SP ZOZ w Łapach”</w:t>
      </w:r>
    </w:p>
    <w:p w14:paraId="3C589800" w14:textId="77777777" w:rsidR="00E30299" w:rsidRDefault="00E30299" w:rsidP="00683850">
      <w:pPr>
        <w:spacing w:line="276" w:lineRule="auto"/>
      </w:pPr>
    </w:p>
    <w:p w14:paraId="2DCC1D4E" w14:textId="5B805BFF" w:rsidR="00E30299" w:rsidRPr="00AC07F3" w:rsidRDefault="00E30299" w:rsidP="00683850">
      <w:pPr>
        <w:spacing w:line="276" w:lineRule="auto"/>
        <w:jc w:val="center"/>
      </w:pPr>
      <w:r w:rsidRPr="00E31DEA">
        <w:t xml:space="preserve">(Znak </w:t>
      </w:r>
      <w:r w:rsidRPr="007E053D">
        <w:t>postępowania: ZP/</w:t>
      </w:r>
      <w:r w:rsidR="00E31DEA" w:rsidRPr="007E053D">
        <w:t>1</w:t>
      </w:r>
      <w:r w:rsidR="00594C27">
        <w:t>5</w:t>
      </w:r>
      <w:r w:rsidRPr="007E053D">
        <w:t>/202</w:t>
      </w:r>
      <w:r w:rsidR="00A33BCB" w:rsidRPr="007E053D">
        <w:t>1</w:t>
      </w:r>
      <w:r w:rsidR="005C5D86" w:rsidRPr="007E053D">
        <w:t>/PN</w:t>
      </w:r>
      <w:r w:rsidRPr="007E053D">
        <w:t>)</w:t>
      </w:r>
    </w:p>
    <w:p w14:paraId="3BBD47EF" w14:textId="77777777" w:rsidR="00DA1239" w:rsidRDefault="00DA1239" w:rsidP="00DA1239">
      <w:pPr>
        <w:spacing w:line="276" w:lineRule="auto"/>
        <w:jc w:val="center"/>
      </w:pPr>
      <w:r>
        <w:t>Polska-Łapy: Urządzenia medyczne</w:t>
      </w:r>
    </w:p>
    <w:p w14:paraId="69EA7BD2" w14:textId="677D707E" w:rsidR="00E30299" w:rsidRDefault="00DA1239" w:rsidP="00DA1239">
      <w:pPr>
        <w:spacing w:line="276" w:lineRule="auto"/>
        <w:jc w:val="center"/>
      </w:pPr>
      <w:r>
        <w:t>2021/S 115-301562</w:t>
      </w:r>
    </w:p>
    <w:p w14:paraId="5251755A" w14:textId="7E249920" w:rsidR="00DA1239" w:rsidRDefault="00DA1239" w:rsidP="00DA1239">
      <w:pPr>
        <w:spacing w:line="276" w:lineRule="auto"/>
        <w:jc w:val="center"/>
      </w:pPr>
      <w:r w:rsidRPr="00DA1239">
        <w:t xml:space="preserve">Niniejsze ogłoszenie w witrynie TED: </w:t>
      </w:r>
      <w:r>
        <w:br/>
      </w:r>
      <w:r w:rsidRPr="00DA1239">
        <w:t>https://ted.europa.eu/udl?uri=TED:NOTICE:301562-2021:TEXT:PL:HTML</w:t>
      </w:r>
    </w:p>
    <w:p w14:paraId="56229392" w14:textId="77777777" w:rsidR="00C6701A" w:rsidRDefault="00C6701A" w:rsidP="00683850">
      <w:pPr>
        <w:spacing w:line="276" w:lineRule="auto"/>
        <w:jc w:val="center"/>
      </w:pPr>
    </w:p>
    <w:p w14:paraId="6A71CA02" w14:textId="77777777" w:rsidR="00C6701A" w:rsidRDefault="00C6701A" w:rsidP="00683850">
      <w:pPr>
        <w:spacing w:line="276" w:lineRule="auto"/>
        <w:jc w:val="center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1B594DE0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C0D564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36B3BBB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2834E76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109DE2F7" w14:textId="77777777" w:rsidR="00E30299" w:rsidRPr="00AC07F3" w:rsidRDefault="00E30299" w:rsidP="00683850">
      <w:pPr>
        <w:spacing w:line="276" w:lineRule="auto"/>
        <w:jc w:val="center"/>
      </w:pPr>
    </w:p>
    <w:p w14:paraId="1418C5F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156F8354" w14:textId="77777777" w:rsidR="00E30299" w:rsidRPr="00AC07F3" w:rsidRDefault="00E30299" w:rsidP="00683850">
      <w:pPr>
        <w:spacing w:line="276" w:lineRule="auto"/>
      </w:pPr>
    </w:p>
    <w:p w14:paraId="720DE4E3" w14:textId="77777777" w:rsidR="00E30299" w:rsidRPr="00AC07F3" w:rsidRDefault="00E30299" w:rsidP="00683850">
      <w:pPr>
        <w:spacing w:line="276" w:lineRule="auto"/>
        <w:jc w:val="center"/>
      </w:pP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19DBBF02" w:rsidR="0049576F" w:rsidRDefault="00E30299" w:rsidP="00C6701A">
      <w:pPr>
        <w:spacing w:line="276" w:lineRule="auto"/>
        <w:jc w:val="center"/>
      </w:pPr>
      <w:r w:rsidRPr="0030775D">
        <w:t xml:space="preserve">Łapy, dnia </w:t>
      </w:r>
      <w:r w:rsidR="00E81D2C">
        <w:t>16.06</w:t>
      </w:r>
      <w:r w:rsidRPr="0030775D">
        <w:t>.202</w:t>
      </w:r>
      <w:r w:rsidR="00A33BCB" w:rsidRPr="0030775D">
        <w:t>1</w:t>
      </w:r>
      <w:r w:rsidRPr="0030775D">
        <w:t xml:space="preserve"> r.</w:t>
      </w:r>
      <w:r w:rsidR="0049576F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  <w:bookmarkStart w:id="0" w:name="_GoBack"/>
      <w:bookmarkEnd w:id="0"/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84BD69F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7777777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(Dz. U. z 2019 r., poz. 2019).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620F6652" w14:textId="77777777" w:rsidR="00E30299" w:rsidRPr="00AC07F3" w:rsidRDefault="00E30299" w:rsidP="00A63201">
      <w:pPr>
        <w:spacing w:after="12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A63201">
      <w:pPr>
        <w:spacing w:after="12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125B4D7A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E053D">
        <w:rPr>
          <w:b/>
        </w:rPr>
        <w:t>ZP/</w:t>
      </w:r>
      <w:r w:rsidR="00E31DEA" w:rsidRPr="007E053D">
        <w:rPr>
          <w:b/>
        </w:rPr>
        <w:t>1</w:t>
      </w:r>
      <w:r w:rsidR="00594C27">
        <w:rPr>
          <w:b/>
        </w:rPr>
        <w:t>5</w:t>
      </w:r>
      <w:r w:rsidRPr="007E053D">
        <w:rPr>
          <w:b/>
        </w:rPr>
        <w:t>/202</w:t>
      </w:r>
      <w:r w:rsidR="0072156B" w:rsidRPr="007E053D">
        <w:rPr>
          <w:b/>
        </w:rPr>
        <w:t>1</w:t>
      </w:r>
      <w:r w:rsidR="000403CC" w:rsidRPr="007E053D">
        <w:rPr>
          <w:b/>
        </w:rPr>
        <w:t>/</w:t>
      </w:r>
      <w:r w:rsidR="006A5E66" w:rsidRPr="007E053D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078E7CC5" w14:textId="0D6F704A" w:rsidR="00407A0D" w:rsidRPr="00855CF8" w:rsidRDefault="00407A0D" w:rsidP="007E053D">
      <w:pPr>
        <w:spacing w:line="240" w:lineRule="auto"/>
        <w:jc w:val="both"/>
        <w:rPr>
          <w:rFonts w:asciiTheme="minorHAnsi" w:eastAsia="MyriadPro-Bold" w:hAnsiTheme="minorHAnsi" w:cs="Calibri"/>
          <w:bCs/>
          <w:highlight w:val="yellow"/>
        </w:rPr>
      </w:pPr>
      <w:r>
        <w:rPr>
          <w:rStyle w:val="Nagwek2Znak"/>
          <w:rFonts w:eastAsia="Calibri"/>
          <w:lang w:val="pl-PL"/>
        </w:rPr>
        <w:t>3</w:t>
      </w:r>
      <w:r w:rsidRPr="00AC07F3">
        <w:rPr>
          <w:rStyle w:val="Nagwek2Znak"/>
          <w:rFonts w:eastAsia="Calibri"/>
        </w:rPr>
        <w:t>.1.</w:t>
      </w:r>
      <w:r w:rsidRPr="00AC07F3">
        <w:t xml:space="preserve"> </w:t>
      </w:r>
      <w:r w:rsidRPr="00855CF8">
        <w:rPr>
          <w:rFonts w:asciiTheme="minorHAnsi" w:eastAsia="MyriadPro-Bold" w:hAnsiTheme="minorHAnsi" w:cs="Calibri"/>
          <w:bCs/>
        </w:rPr>
        <w:t xml:space="preserve">Przedmiotem zamówienia jest zakup i dostawa </w:t>
      </w:r>
      <w:r w:rsidR="00594C27">
        <w:rPr>
          <w:rFonts w:asciiTheme="minorHAnsi" w:eastAsia="MyriadPro-Bold" w:hAnsiTheme="minorHAnsi" w:cs="Calibri"/>
          <w:bCs/>
        </w:rPr>
        <w:t>systemu neuromonitoringu śródoperacyjnego (monitor nerwów)</w:t>
      </w:r>
      <w:r w:rsidR="008D1677" w:rsidRPr="008D1677">
        <w:t xml:space="preserve"> </w:t>
      </w:r>
      <w:r w:rsidR="008D1677" w:rsidRPr="008D1677">
        <w:rPr>
          <w:rFonts w:asciiTheme="minorHAnsi" w:eastAsia="MyriadPro-Bold" w:hAnsiTheme="minorHAnsi" w:cs="Calibri"/>
          <w:bCs/>
        </w:rPr>
        <w:t>wyposażon</w:t>
      </w:r>
      <w:r w:rsidR="008D1677">
        <w:rPr>
          <w:rFonts w:asciiTheme="minorHAnsi" w:eastAsia="MyriadPro-Bold" w:hAnsiTheme="minorHAnsi" w:cs="Calibri"/>
          <w:bCs/>
        </w:rPr>
        <w:t>ego</w:t>
      </w:r>
      <w:r w:rsidR="008D1677" w:rsidRPr="008D1677">
        <w:rPr>
          <w:rFonts w:asciiTheme="minorHAnsi" w:eastAsia="MyriadPro-Bold" w:hAnsiTheme="minorHAnsi" w:cs="Calibri"/>
          <w:bCs/>
        </w:rPr>
        <w:t xml:space="preserve"> w niezbędne akcesoria potrzebne do wykonywania zabiegów tarczycy i przytarczyc</w:t>
      </w:r>
      <w:r w:rsidRPr="00C81E83">
        <w:rPr>
          <w:rFonts w:asciiTheme="minorHAnsi" w:eastAsia="MyriadPro-Bold" w:hAnsiTheme="minorHAnsi" w:cs="Calibri"/>
          <w:bCs/>
        </w:rPr>
        <w:t xml:space="preserve">, zgodnie ze specyfikacjami: rodzajową oraz ilościową, które składają się na opis </w:t>
      </w:r>
      <w:r w:rsidRPr="00C81E83">
        <w:rPr>
          <w:rFonts w:asciiTheme="minorHAnsi" w:eastAsia="MyriadPro-Bold" w:hAnsiTheme="minorHAnsi" w:cs="Calibri"/>
          <w:bCs/>
        </w:rPr>
        <w:lastRenderedPageBreak/>
        <w:t xml:space="preserve">przedmiotu zamówienia (zał. nr 7 do SWZ – Formularz asortymentowo-cenowy, zał. nr 2 do SWZ </w:t>
      </w:r>
      <w:r w:rsidRPr="00EB05B2">
        <w:rPr>
          <w:rFonts w:asciiTheme="minorHAnsi" w:eastAsia="MyriadPro-Bold" w:hAnsiTheme="minorHAnsi" w:cs="Calibri"/>
          <w:bCs/>
        </w:rPr>
        <w:t>– Projektowane postanowienia umowy oraz zał. nr</w:t>
      </w:r>
      <w:r>
        <w:rPr>
          <w:rFonts w:asciiTheme="minorHAnsi" w:eastAsia="MyriadPro-Bold" w:hAnsiTheme="minorHAnsi" w:cs="Calibri"/>
          <w:bCs/>
        </w:rPr>
        <w:t xml:space="preserve"> </w:t>
      </w:r>
      <w:r w:rsidRPr="00EB05B2">
        <w:rPr>
          <w:rFonts w:asciiTheme="minorHAnsi" w:eastAsia="MyriadPro-Bold" w:hAnsiTheme="minorHAnsi" w:cs="Calibri"/>
          <w:bCs/>
        </w:rPr>
        <w:t>8</w:t>
      </w:r>
      <w:r>
        <w:rPr>
          <w:rFonts w:asciiTheme="minorHAnsi" w:eastAsia="MyriadPro-Bold" w:hAnsiTheme="minorHAnsi" w:cs="Calibri"/>
          <w:bCs/>
        </w:rPr>
        <w:t xml:space="preserve"> </w:t>
      </w:r>
      <w:r w:rsidRPr="00EB05B2">
        <w:rPr>
          <w:rFonts w:asciiTheme="minorHAnsi" w:eastAsia="MyriadPro-Bold" w:hAnsiTheme="minorHAnsi" w:cs="Calibri"/>
          <w:bCs/>
        </w:rPr>
        <w:t>do SW</w:t>
      </w:r>
      <w:r w:rsidR="00594C27">
        <w:rPr>
          <w:rFonts w:asciiTheme="minorHAnsi" w:eastAsia="MyriadPro-Bold" w:hAnsiTheme="minorHAnsi" w:cs="Calibri"/>
          <w:bCs/>
        </w:rPr>
        <w:t>Z – Opis przedmiotu zamówienia).</w:t>
      </w:r>
      <w:r w:rsidRPr="009161F6">
        <w:rPr>
          <w:rFonts w:asciiTheme="minorHAnsi" w:eastAsia="MyriadPro-Bold" w:hAnsiTheme="minorHAnsi" w:cs="Calibri"/>
          <w:bCs/>
        </w:rPr>
        <w:t xml:space="preserve"> </w:t>
      </w:r>
    </w:p>
    <w:p w14:paraId="2866CA48" w14:textId="77777777" w:rsidR="00407A0D" w:rsidRPr="009161F6" w:rsidRDefault="00407A0D" w:rsidP="00407A0D">
      <w:p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Przedmiot zamówienia obejmuje:</w:t>
      </w:r>
    </w:p>
    <w:p w14:paraId="0A6AE40E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dostawę </w:t>
      </w:r>
      <w:r w:rsidRPr="009161F6">
        <w:rPr>
          <w:rFonts w:asciiTheme="minorHAnsi" w:eastAsia="MyriadPro-Bold" w:hAnsiTheme="minorHAnsi" w:cs="Calibri"/>
          <w:bCs/>
        </w:rPr>
        <w:t xml:space="preserve">sprzętu medycznego oraz wyposażenia </w:t>
      </w:r>
      <w:r w:rsidRPr="009161F6">
        <w:rPr>
          <w:rFonts w:eastAsia="MyriadPro-Bold" w:cs="Calibri"/>
          <w:bCs/>
        </w:rPr>
        <w:t>wraz z ich rozładunkiem, transportem wewnętrznym, instalacją i uruchomieniem w siedzibie Zamawiającego;</w:t>
      </w:r>
    </w:p>
    <w:p w14:paraId="41BBB3E5" w14:textId="5E655C05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wykonanie testów potwierdzających sprawność </w:t>
      </w:r>
      <w:r w:rsidR="009161F6" w:rsidRPr="009161F6">
        <w:rPr>
          <w:rFonts w:eastAsia="MyriadPro-Bold" w:cs="Calibri"/>
          <w:bCs/>
        </w:rPr>
        <w:t xml:space="preserve">i działanie </w:t>
      </w:r>
      <w:r w:rsidRPr="009161F6">
        <w:rPr>
          <w:rFonts w:eastAsia="MyriadPro-Bold" w:cs="Calibri"/>
          <w:bCs/>
        </w:rPr>
        <w:t xml:space="preserve">dostarczonych urządzeń </w:t>
      </w:r>
      <w:r w:rsidR="008D1677">
        <w:rPr>
          <w:rFonts w:eastAsia="MyriadPro-Bold" w:cs="Calibri"/>
          <w:bCs/>
        </w:rPr>
        <w:br/>
      </w:r>
      <w:r w:rsidRPr="009161F6">
        <w:rPr>
          <w:rFonts w:eastAsia="MyriadPro-Bold" w:cs="Calibri"/>
          <w:bCs/>
        </w:rPr>
        <w:t xml:space="preserve">oraz wyposażenia zgodnie z dokumentacją (dotyczy sprzętu); </w:t>
      </w:r>
    </w:p>
    <w:p w14:paraId="58F1249E" w14:textId="07338441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przeprowadzenia w siedzibie Zamawiającego szkolenia personelu w zakresie podstawowej </w:t>
      </w:r>
      <w:r w:rsidR="008D1677">
        <w:rPr>
          <w:rFonts w:eastAsia="MyriadPro-Bold" w:cs="Calibri"/>
          <w:bCs/>
        </w:rPr>
        <w:br/>
      </w:r>
      <w:r w:rsidRPr="009161F6">
        <w:rPr>
          <w:rFonts w:eastAsia="MyriadPro-Bold" w:cs="Calibri"/>
          <w:bCs/>
        </w:rPr>
        <w:t>ich obsługi (dotyczy sprzętu);</w:t>
      </w:r>
    </w:p>
    <w:p w14:paraId="3616A5BA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dostarczenie wraz z urządzeniami:</w:t>
      </w:r>
    </w:p>
    <w:p w14:paraId="1DE0B2BB" w14:textId="77777777" w:rsidR="00407A0D" w:rsidRPr="009161F6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instrukcji w języku polskim oraz pełnego oprogramowania na płycie CD, jeżeli jest objęte zestawem;</w:t>
      </w:r>
    </w:p>
    <w:p w14:paraId="50356176" w14:textId="77777777" w:rsidR="00407A0D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paszportu technicznego (jeżeli dotyczy);</w:t>
      </w:r>
    </w:p>
    <w:p w14:paraId="3C65628A" w14:textId="5019A4C3" w:rsidR="00716AB7" w:rsidRDefault="00716AB7" w:rsidP="000616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716AB7">
        <w:rPr>
          <w:rFonts w:eastAsia="MyriadPro-Bold" w:cs="Calibri"/>
          <w:bCs/>
        </w:rPr>
        <w:t>certyfikat</w:t>
      </w:r>
      <w:r>
        <w:rPr>
          <w:rFonts w:eastAsia="MyriadPro-Bold" w:cs="Calibri"/>
          <w:bCs/>
        </w:rPr>
        <w:t>u</w:t>
      </w:r>
      <w:r w:rsidRPr="00716AB7">
        <w:rPr>
          <w:rFonts w:eastAsia="MyriadPro-Bold" w:cs="Calibri"/>
          <w:bCs/>
        </w:rPr>
        <w:t xml:space="preserve"> systemu zarządzania jakością (jeżeli dotyczy);</w:t>
      </w:r>
    </w:p>
    <w:p w14:paraId="2AE8C82E" w14:textId="18820C2C" w:rsidR="00407A0D" w:rsidRPr="00716AB7" w:rsidRDefault="00407A0D" w:rsidP="000616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716AB7">
        <w:rPr>
          <w:rFonts w:eastAsia="MyriadPro-Bold" w:cs="Calibri"/>
          <w:bCs/>
        </w:rPr>
        <w:t xml:space="preserve">deklaracji zgodności </w:t>
      </w:r>
      <w:r w:rsidR="009161F6" w:rsidRPr="00716AB7">
        <w:rPr>
          <w:rFonts w:eastAsia="MyriadPro-Bold" w:cs="Calibri"/>
          <w:bCs/>
        </w:rPr>
        <w:t>i</w:t>
      </w:r>
      <w:r w:rsidRPr="00716AB7">
        <w:rPr>
          <w:rFonts w:eastAsia="MyriadPro-Bold" w:cs="Calibri"/>
          <w:bCs/>
        </w:rPr>
        <w:t xml:space="preserve"> certyfikatu CE (jeżeli dotyczy);</w:t>
      </w:r>
    </w:p>
    <w:p w14:paraId="3F545E29" w14:textId="77777777" w:rsidR="00407A0D" w:rsidRPr="009161F6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niezbędnego wyposażenia wyspecyfikowanego w treści załączników opisujących szczegółowo przedmiot zamówienia;</w:t>
      </w:r>
    </w:p>
    <w:p w14:paraId="22AD0F62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objęcie przedmiotu dostawy </w:t>
      </w:r>
      <w:r w:rsidRPr="009161F6">
        <w:rPr>
          <w:rFonts w:eastAsia="MyriadPro-Bold" w:cs="Calibri"/>
          <w:b/>
          <w:bCs/>
        </w:rPr>
        <w:t>co najmniej 24 miesięczną gwarancją</w:t>
      </w:r>
      <w:r w:rsidRPr="009161F6">
        <w:rPr>
          <w:rFonts w:eastAsia="MyriadPro-Bold" w:cs="Calibri"/>
          <w:bCs/>
        </w:rPr>
        <w:t>;</w:t>
      </w:r>
    </w:p>
    <w:p w14:paraId="6433D6D3" w14:textId="77777777" w:rsidR="00407A0D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cs="Calibri"/>
          <w:color w:val="000000"/>
        </w:rPr>
      </w:pPr>
      <w:r w:rsidRPr="00224272">
        <w:rPr>
          <w:rFonts w:cs="Calibri"/>
          <w:color w:val="000000"/>
        </w:rPr>
        <w:t>zapewnienie reakcji serwisu w ciągu 48 h od chwili zgłoszenia Zamawiającego;</w:t>
      </w:r>
    </w:p>
    <w:p w14:paraId="467A5244" w14:textId="77777777" w:rsidR="00407A0D" w:rsidRDefault="00407A0D" w:rsidP="00407A0D">
      <w:pPr>
        <w:spacing w:after="0" w:line="240" w:lineRule="auto"/>
        <w:jc w:val="both"/>
        <w:rPr>
          <w:rFonts w:cs="Calibri"/>
          <w:color w:val="000000"/>
        </w:rPr>
      </w:pPr>
    </w:p>
    <w:p w14:paraId="5DB2D630" w14:textId="7A56581B" w:rsidR="00407A0D" w:rsidRPr="00407A0D" w:rsidRDefault="00407A0D" w:rsidP="00407A0D">
      <w:pPr>
        <w:spacing w:line="240" w:lineRule="auto"/>
        <w:jc w:val="both"/>
        <w:rPr>
          <w:rFonts w:asciiTheme="minorHAnsi" w:hAnsiTheme="minorHAnsi"/>
        </w:rPr>
      </w:pPr>
      <w:r w:rsidRPr="000322D2">
        <w:rPr>
          <w:rFonts w:asciiTheme="minorHAnsi" w:hAnsiTheme="minorHAnsi"/>
        </w:rPr>
        <w:t xml:space="preserve">Oferowane jako przedmiot </w:t>
      </w:r>
      <w:r w:rsidRPr="008809D4">
        <w:rPr>
          <w:rFonts w:asciiTheme="minorHAnsi" w:hAnsiTheme="minorHAnsi"/>
        </w:rPr>
        <w:t>zamówienia sprzęty i wyposażenie</w:t>
      </w:r>
      <w:r w:rsidRPr="000322D2">
        <w:rPr>
          <w:rFonts w:asciiTheme="minorHAnsi" w:hAnsiTheme="minorHAnsi"/>
        </w:rPr>
        <w:t xml:space="preserve"> </w:t>
      </w:r>
      <w:r w:rsidRPr="000322D2">
        <w:rPr>
          <w:rFonts w:asciiTheme="minorHAnsi" w:hAnsiTheme="minorHAnsi"/>
          <w:color w:val="000000" w:themeColor="text1"/>
        </w:rPr>
        <w:t xml:space="preserve">powinny być wolne od wad fizycznych </w:t>
      </w:r>
      <w:r w:rsidR="004B0175">
        <w:rPr>
          <w:rFonts w:asciiTheme="minorHAnsi" w:hAnsiTheme="minorHAnsi"/>
          <w:color w:val="000000" w:themeColor="text1"/>
        </w:rPr>
        <w:br/>
      </w:r>
      <w:r w:rsidRPr="000322D2">
        <w:rPr>
          <w:rFonts w:asciiTheme="minorHAnsi" w:hAnsiTheme="minorHAnsi"/>
          <w:color w:val="000000" w:themeColor="text1"/>
        </w:rPr>
        <w:t xml:space="preserve">i prawnych, </w:t>
      </w:r>
      <w:r w:rsidRPr="000322D2">
        <w:rPr>
          <w:rFonts w:asciiTheme="minorHAnsi" w:hAnsiTheme="minorHAnsi"/>
        </w:rPr>
        <w:t xml:space="preserve">fabrycznie nowe, </w:t>
      </w:r>
      <w:r w:rsidR="007E053D">
        <w:rPr>
          <w:rFonts w:asciiTheme="minorHAnsi" w:hAnsiTheme="minorHAnsi"/>
        </w:rPr>
        <w:t xml:space="preserve">sprawne, </w:t>
      </w:r>
      <w:r w:rsidRPr="000322D2">
        <w:rPr>
          <w:rFonts w:asciiTheme="minorHAnsi" w:hAnsiTheme="minorHAnsi"/>
        </w:rPr>
        <w:t xml:space="preserve">nie będące wcześniej wykorzystywane jako demo </w:t>
      </w:r>
      <w:r w:rsidR="007E053D">
        <w:rPr>
          <w:rFonts w:asciiTheme="minorHAnsi" w:hAnsiTheme="minorHAnsi"/>
        </w:rPr>
        <w:br/>
      </w:r>
      <w:r w:rsidRPr="000322D2">
        <w:rPr>
          <w:rFonts w:asciiTheme="minorHAnsi" w:hAnsiTheme="minorHAnsi"/>
        </w:rPr>
        <w:t xml:space="preserve">lub ekspozycja, kompletne i po dostarczeniu Zamawiającemu gotowe do użytku zgodnie </w:t>
      </w:r>
      <w:r w:rsidR="007E053D">
        <w:rPr>
          <w:rFonts w:asciiTheme="minorHAnsi" w:hAnsiTheme="minorHAnsi"/>
        </w:rPr>
        <w:br/>
      </w:r>
      <w:r w:rsidRPr="000322D2">
        <w:rPr>
          <w:rFonts w:asciiTheme="minorHAnsi" w:hAnsiTheme="minorHAnsi"/>
        </w:rPr>
        <w:t>z ich przeznaczeniem, bez konieczności ponoszenia przez Zamawiającego dodatkowych nakładów finansowych, o</w:t>
      </w:r>
      <w:r>
        <w:rPr>
          <w:rFonts w:asciiTheme="minorHAnsi" w:hAnsiTheme="minorHAnsi"/>
        </w:rPr>
        <w:t xml:space="preserve">rganizacyjnych i technicznych. </w:t>
      </w:r>
    </w:p>
    <w:p w14:paraId="7BDA40FA" w14:textId="04FA9F47" w:rsidR="00407A0D" w:rsidRPr="00407A0D" w:rsidRDefault="00407A0D" w:rsidP="00407A0D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A0D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407A0D">
        <w:rPr>
          <w:rFonts w:asciiTheme="minorHAnsi" w:hAnsiTheme="minorHAnsi"/>
        </w:rPr>
        <w:t xml:space="preserve">Zamawiający </w:t>
      </w:r>
      <w:r w:rsidR="00594C27">
        <w:rPr>
          <w:rFonts w:asciiTheme="minorHAnsi" w:hAnsiTheme="minorHAnsi"/>
          <w:b/>
        </w:rPr>
        <w:t xml:space="preserve">nie </w:t>
      </w:r>
      <w:r w:rsidRPr="00407A0D">
        <w:rPr>
          <w:rFonts w:asciiTheme="minorHAnsi" w:hAnsiTheme="minorHAnsi"/>
          <w:b/>
        </w:rPr>
        <w:t>dopuszcza do składania ofert częściowych</w:t>
      </w:r>
      <w:r w:rsidRPr="00407A0D">
        <w:rPr>
          <w:rFonts w:asciiTheme="minorHAnsi" w:hAnsiTheme="minorHAnsi"/>
        </w:rPr>
        <w:t xml:space="preserve">. </w:t>
      </w:r>
      <w:r w:rsidR="00594C27">
        <w:rPr>
          <w:rFonts w:asciiTheme="minorHAnsi" w:hAnsiTheme="minorHAnsi"/>
        </w:rPr>
        <w:t xml:space="preserve">Podział zamówienia na części </w:t>
      </w:r>
      <w:r w:rsidR="00594C27">
        <w:rPr>
          <w:rFonts w:asciiTheme="minorHAnsi" w:hAnsiTheme="minorHAnsi"/>
        </w:rPr>
        <w:br/>
        <w:t>nie jest możliwy.</w:t>
      </w:r>
    </w:p>
    <w:p w14:paraId="42AE8ABD" w14:textId="02215379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407A0D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407A0D">
        <w:rPr>
          <w:rStyle w:val="Nagwek2Znak"/>
          <w:rFonts w:eastAsia="Calibri"/>
          <w:color w:val="2E74B5" w:themeColor="accent1" w:themeShade="BF"/>
        </w:rPr>
        <w:t>.</w:t>
      </w:r>
      <w:r w:rsidR="00A33BCB" w:rsidRPr="00407A0D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407A0D">
        <w:rPr>
          <w:rStyle w:val="Nagwek2Znak"/>
          <w:rFonts w:eastAsia="Calibri"/>
          <w:color w:val="2E74B5" w:themeColor="accent1" w:themeShade="BF"/>
        </w:rPr>
        <w:t>.</w:t>
      </w:r>
      <w:r w:rsidRPr="00407A0D">
        <w:rPr>
          <w:color w:val="2E74B5" w:themeColor="accent1" w:themeShade="BF"/>
        </w:rPr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</w:t>
      </w:r>
      <w:r w:rsidR="0049576F" w:rsidRPr="003B3F14">
        <w:rPr>
          <w:rFonts w:asciiTheme="minorHAnsi" w:eastAsiaTheme="minorHAnsi" w:hAnsiTheme="minorHAnsi" w:cstheme="minorHAnsi"/>
        </w:rPr>
        <w:t xml:space="preserve">załącznik nr </w:t>
      </w:r>
      <w:r w:rsidR="00133552" w:rsidRPr="003B3F14">
        <w:rPr>
          <w:rFonts w:asciiTheme="minorHAnsi" w:eastAsiaTheme="minorHAnsi" w:hAnsiTheme="minorHAnsi" w:cstheme="minorHAnsi"/>
        </w:rPr>
        <w:t>2</w:t>
      </w:r>
      <w:r w:rsidRPr="003B3F14">
        <w:rPr>
          <w:rFonts w:asciiTheme="minorHAnsi" w:eastAsiaTheme="minorHAnsi" w:hAnsiTheme="minorHAnsi" w:cstheme="minorHAnsi"/>
        </w:rPr>
        <w:t xml:space="preserve"> SWZ</w:t>
      </w:r>
      <w:r w:rsidRPr="00A22BF4">
        <w:rPr>
          <w:rFonts w:asciiTheme="minorHAnsi" w:eastAsiaTheme="minorHAnsi" w:hAnsiTheme="minorHAnsi" w:cstheme="minorHAnsi"/>
        </w:rPr>
        <w:t xml:space="preserve">. </w:t>
      </w:r>
    </w:p>
    <w:p w14:paraId="3D0D4BCD" w14:textId="77777777" w:rsidR="0049215E" w:rsidRPr="00A22B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4B8AC2FB" w14:textId="77777777" w:rsidR="00407A0D" w:rsidRPr="00AD09B3" w:rsidRDefault="00407A0D" w:rsidP="00407A0D">
      <w:pPr>
        <w:spacing w:line="240" w:lineRule="auto"/>
        <w:jc w:val="both"/>
        <w:rPr>
          <w:rFonts w:cs="Calibri"/>
        </w:rPr>
      </w:pPr>
      <w:r w:rsidRPr="00AD09B3">
        <w:rPr>
          <w:rFonts w:cs="Calibri"/>
        </w:rPr>
        <w:t>a) Główny kod:</w:t>
      </w:r>
    </w:p>
    <w:p w14:paraId="2566FBAA" w14:textId="77777777" w:rsidR="00407A0D" w:rsidRPr="00AD09B3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33100000-</w:t>
      </w:r>
      <w:r w:rsidRPr="00AD09B3">
        <w:rPr>
          <w:rFonts w:cs="Calibri"/>
          <w:b/>
          <w:lang w:eastAsia="pl-PL"/>
        </w:rPr>
        <w:t>1 - urządzenia medyczne</w:t>
      </w:r>
      <w:r>
        <w:rPr>
          <w:rFonts w:cs="Calibri"/>
          <w:b/>
          <w:lang w:eastAsia="pl-PL"/>
        </w:rPr>
        <w:t>;</w:t>
      </w:r>
    </w:p>
    <w:p w14:paraId="7AD1727C" w14:textId="77777777" w:rsidR="00407A0D" w:rsidRPr="00AD09B3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AD09B3">
        <w:rPr>
          <w:rFonts w:cs="Calibri"/>
          <w:lang w:eastAsia="pl-PL"/>
        </w:rPr>
        <w:t>b) Dodatkow</w:t>
      </w:r>
      <w:r>
        <w:rPr>
          <w:rFonts w:cs="Calibri"/>
          <w:lang w:eastAsia="pl-PL"/>
        </w:rPr>
        <w:t>e</w:t>
      </w:r>
      <w:r w:rsidRPr="00AD09B3">
        <w:rPr>
          <w:rFonts w:cs="Calibri"/>
          <w:lang w:eastAsia="pl-PL"/>
        </w:rPr>
        <w:t xml:space="preserve"> kod</w:t>
      </w:r>
      <w:r>
        <w:rPr>
          <w:rFonts w:cs="Calibri"/>
          <w:lang w:eastAsia="pl-PL"/>
        </w:rPr>
        <w:t>y</w:t>
      </w:r>
      <w:r w:rsidRPr="00AD09B3">
        <w:rPr>
          <w:rFonts w:cs="Calibri"/>
          <w:lang w:eastAsia="pl-PL"/>
        </w:rPr>
        <w:t>:</w:t>
      </w:r>
    </w:p>
    <w:p w14:paraId="5021F50F" w14:textId="52DCA7C8" w:rsidR="00407A0D" w:rsidRDefault="00407A0D" w:rsidP="00407A0D">
      <w:pPr>
        <w:pStyle w:val="Nagwek1"/>
        <w:spacing w:before="120" w:line="240" w:lineRule="auto"/>
        <w:ind w:left="709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</w:pP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 xml:space="preserve">33169500-7 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- s</w:t>
      </w: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ystemy chirurgiczne do lokalizacji i śledzenia</w:t>
      </w:r>
      <w:r w:rsidR="003727DB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;</w:t>
      </w:r>
    </w:p>
    <w:p w14:paraId="60641091" w14:textId="6775F86F" w:rsidR="00594C27" w:rsidRPr="00594C27" w:rsidRDefault="00594C27" w:rsidP="00594C27">
      <w:pPr>
        <w:rPr>
          <w:b/>
          <w:lang w:eastAsia="pl-PL"/>
        </w:rPr>
      </w:pPr>
      <w:r>
        <w:rPr>
          <w:lang w:eastAsia="pl-PL"/>
        </w:rPr>
        <w:tab/>
      </w:r>
      <w:r w:rsidRPr="008E1EAD">
        <w:rPr>
          <w:b/>
          <w:lang w:eastAsia="pl-PL"/>
        </w:rPr>
        <w:t xml:space="preserve">33162100-4 – urządzenia </w:t>
      </w:r>
      <w:r w:rsidRPr="00594C27">
        <w:rPr>
          <w:b/>
          <w:lang w:eastAsia="pl-PL"/>
        </w:rPr>
        <w:t>używane na salach operacyjnych</w:t>
      </w:r>
    </w:p>
    <w:p w14:paraId="6B7CAD55" w14:textId="538BF623" w:rsidR="00A22BF4" w:rsidRPr="0049215E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  </w:t>
      </w:r>
    </w:p>
    <w:p w14:paraId="4E15A2B3" w14:textId="77777777" w:rsidR="00407A0D" w:rsidRDefault="00E24E79" w:rsidP="00407A0D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C73B5E">
        <w:t>zamówienia</w:t>
      </w:r>
      <w:r w:rsidR="0049576F" w:rsidRPr="00391648">
        <w:t xml:space="preserve"> zamieszczony w ofercie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C73B5E">
        <w:t xml:space="preserve"> przedstawionym przez Zamawiającego</w:t>
      </w:r>
      <w:r w:rsidR="0049576F" w:rsidRPr="00391648">
        <w:t>.</w:t>
      </w:r>
    </w:p>
    <w:p w14:paraId="688C1078" w14:textId="2F0F97CD" w:rsidR="00407A0D" w:rsidRPr="003527CA" w:rsidRDefault="00407A0D" w:rsidP="00407A0D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6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Pzp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6060BB76" w14:textId="77777777" w:rsidR="00407A0D" w:rsidRPr="003527CA" w:rsidRDefault="00407A0D" w:rsidP="00407A0D">
      <w:pPr>
        <w:spacing w:line="276" w:lineRule="auto"/>
        <w:jc w:val="both"/>
      </w:pPr>
      <w:r w:rsidRPr="003527CA">
        <w:lastRenderedPageBreak/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E6F8D4A" w14:textId="07D12DF1" w:rsidR="00407A0D" w:rsidRPr="00391648" w:rsidRDefault="00407A0D" w:rsidP="00C73B5E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8B4D0B">
        <w:t xml:space="preserve">niają wymagania określone </w:t>
      </w:r>
      <w:r w:rsidR="008B4D0B">
        <w:br/>
      </w:r>
      <w:r>
        <w:t xml:space="preserve">przez </w:t>
      </w:r>
      <w:r w:rsidRPr="003527CA">
        <w:t>Zamawiającego.</w:t>
      </w:r>
    </w:p>
    <w:p w14:paraId="47A1A622" w14:textId="0F62D279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407A0D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178F62A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1411B459" w:rsidR="00E24E79" w:rsidRPr="007E053D" w:rsidRDefault="00E30299" w:rsidP="00683850">
      <w:pPr>
        <w:spacing w:line="276" w:lineRule="auto"/>
        <w:jc w:val="both"/>
        <w:rPr>
          <w:b/>
        </w:rPr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407A0D" w:rsidRPr="00407A0D">
        <w:rPr>
          <w:rFonts w:eastAsiaTheme="minorHAnsi" w:cs="Calibri"/>
        </w:rPr>
        <w:t xml:space="preserve">Zamawiający </w:t>
      </w:r>
      <w:r w:rsidR="00407A0D" w:rsidRPr="007E053D">
        <w:rPr>
          <w:rFonts w:eastAsiaTheme="minorHAnsi" w:cs="Calibri"/>
        </w:rPr>
        <w:t xml:space="preserve">wymaga realizacji ww. przedmiotu zamówienia </w:t>
      </w:r>
      <w:r w:rsidR="007E053D" w:rsidRPr="007E053D">
        <w:rPr>
          <w:rFonts w:eastAsiaTheme="minorHAnsi" w:cs="Calibri"/>
          <w:b/>
        </w:rPr>
        <w:t xml:space="preserve">w terminie </w:t>
      </w:r>
      <w:r w:rsidR="008E1EAD">
        <w:rPr>
          <w:rFonts w:eastAsiaTheme="minorHAnsi" w:cs="Calibri"/>
          <w:b/>
        </w:rPr>
        <w:t>dwóch tygodni od dnia zawarcia umowy.</w:t>
      </w:r>
    </w:p>
    <w:p w14:paraId="08D57230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8FF2D4C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06A6E7D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C189DE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676FC59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45FB5385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55BFFB38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41156E6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6E3873A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6BA9808" w14:textId="77777777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B55B89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3F6718D6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7130B0D7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1A4349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23822959" w14:textId="1E97A117" w:rsidR="00186024" w:rsidRPr="00FF21E5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</w:t>
      </w:r>
      <w:r w:rsidRPr="00FF21E5">
        <w:rPr>
          <w:rFonts w:asciiTheme="minorHAnsi" w:hAnsiTheme="minorHAnsi" w:cstheme="minorHAnsi"/>
          <w:color w:val="auto"/>
          <w:sz w:val="22"/>
          <w:szCs w:val="22"/>
        </w:rPr>
        <w:t xml:space="preserve">ofertą </w:t>
      </w:r>
      <w:r w:rsidR="00B34B17" w:rsidRPr="00FF21E5">
        <w:rPr>
          <w:rFonts w:asciiTheme="minorHAnsi" w:hAnsiTheme="minorHAnsi" w:cstheme="minorHAnsi"/>
          <w:color w:val="auto"/>
          <w:sz w:val="22"/>
          <w:szCs w:val="22"/>
        </w:rPr>
        <w:t xml:space="preserve">nie dłużej niż 90 dni od dnia </w:t>
      </w:r>
      <w:r w:rsidRPr="00FF21E5">
        <w:rPr>
          <w:rFonts w:asciiTheme="minorHAnsi" w:hAnsiTheme="minorHAnsi" w:cstheme="minorHAnsi"/>
          <w:color w:val="auto"/>
          <w:sz w:val="22"/>
          <w:szCs w:val="22"/>
        </w:rPr>
        <w:t>upływu terminu składania of</w:t>
      </w:r>
      <w:r w:rsidR="00C903DC" w:rsidRPr="00FF21E5">
        <w:rPr>
          <w:rFonts w:asciiTheme="minorHAnsi" w:hAnsiTheme="minorHAnsi" w:cstheme="minorHAnsi"/>
          <w:color w:val="auto"/>
          <w:sz w:val="22"/>
          <w:szCs w:val="22"/>
        </w:rPr>
        <w:t>ert</w:t>
      </w:r>
      <w:r w:rsidR="00B34B17" w:rsidRPr="00FF21E5">
        <w:rPr>
          <w:rFonts w:asciiTheme="minorHAnsi" w:hAnsiTheme="minorHAnsi" w:cstheme="minorHAnsi"/>
          <w:color w:val="auto"/>
          <w:sz w:val="22"/>
          <w:szCs w:val="22"/>
        </w:rPr>
        <w:t>, przy czym pierwszym dniem terminu związania ofertą jest dzień, w którym upływa termin składania ofert. Wykonawca jest związany ofertą</w:t>
      </w:r>
      <w:r w:rsidR="00C903DC" w:rsidRPr="00FF21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FF21E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FF21E5" w:rsidRPr="00FF21E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15.10</w:t>
      </w:r>
      <w:r w:rsidR="00C903DC" w:rsidRPr="00FF21E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FF21E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14:paraId="5379006A" w14:textId="77777777" w:rsidR="00C455A7" w:rsidRPr="00C455A7" w:rsidRDefault="00C455A7" w:rsidP="008D1677">
      <w:pPr>
        <w:spacing w:after="120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rPr>
          <w:rFonts w:asciiTheme="minorHAnsi" w:hAnsiTheme="minorHAnsi" w:cstheme="minorHAnsi"/>
        </w:rPr>
        <w:t>W przypadku, gdy wybór najkorzystniejszej oferty nie nastąpi</w:t>
      </w:r>
      <w:r w:rsidRPr="00973DB4">
        <w:rPr>
          <w:rFonts w:asciiTheme="minorHAnsi" w:hAnsiTheme="minorHAnsi" w:cstheme="minorHAnsi"/>
        </w:rPr>
        <w:t xml:space="preserve"> przed upływem terminu związania ofertą określonego w dokumentach zamówienia, Zamawiający</w:t>
      </w:r>
      <w:r>
        <w:rPr>
          <w:rFonts w:asciiTheme="minorHAnsi" w:hAnsiTheme="minorHAnsi" w:cstheme="minorHAnsi"/>
        </w:rPr>
        <w:t xml:space="preserve"> przed upływem terminu związania ofertą zwraca się jednokrotnie do Wykonawców o wyrażenie zgody na przedłużenie tego terminu </w:t>
      </w:r>
      <w:r>
        <w:rPr>
          <w:rFonts w:asciiTheme="minorHAnsi" w:hAnsiTheme="minorHAnsi" w:cstheme="minorHAnsi"/>
        </w:rPr>
        <w:br/>
        <w:t>o wskazywany przez niego okres, nie dłuższy niż 60 dni, zgodnie z art. 200 ust. 3 ustawy.</w:t>
      </w:r>
    </w:p>
    <w:p w14:paraId="6411CE7A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A2B14B6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7E053D">
        <w:rPr>
          <w:rFonts w:eastAsiaTheme="minorHAnsi" w:cs="Calibri"/>
        </w:rPr>
        <w:t>Zamawiaj</w:t>
      </w:r>
      <w:r w:rsidRPr="007E053D">
        <w:rPr>
          <w:rFonts w:eastAsia="TimesNewRoman" w:cs="Calibri"/>
        </w:rPr>
        <w:t>ą</w:t>
      </w:r>
      <w:r w:rsidRPr="007E053D">
        <w:rPr>
          <w:rFonts w:eastAsiaTheme="minorHAnsi" w:cs="Calibri"/>
        </w:rPr>
        <w:t>cy nie wymaga wniesienia wadium.</w:t>
      </w:r>
      <w:r>
        <w:rPr>
          <w:rFonts w:eastAsiaTheme="minorHAnsi" w:cs="Calibri"/>
        </w:rPr>
        <w:t xml:space="preserve"> </w:t>
      </w:r>
    </w:p>
    <w:p w14:paraId="01C63D4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 xml:space="preserve">Oferta </w:t>
      </w:r>
      <w:r w:rsidR="00934C7A">
        <w:t xml:space="preserve">wraz załącznikami </w:t>
      </w:r>
      <w:r w:rsidR="00470DA4" w:rsidRPr="005278CF">
        <w:t>musi być sporządzona w języku polskim</w:t>
      </w:r>
      <w:r w:rsidR="00E50D84">
        <w:t xml:space="preserve"> i złożona</w:t>
      </w:r>
      <w:r w:rsidR="00470DA4" w:rsidRPr="005278CF">
        <w:t xml:space="preserve"> </w:t>
      </w:r>
      <w:r w:rsidR="00E50D84">
        <w:t xml:space="preserve">pod rygorem nieważności </w:t>
      </w:r>
      <w:r w:rsidR="00DB23AD">
        <w:t xml:space="preserve">w formie elektronicznej (tj. w postaci elektronicznej </w:t>
      </w:r>
      <w:r w:rsidR="00470DA4" w:rsidRPr="005278CF">
        <w:t>w formacie danych: .</w:t>
      </w:r>
      <w:r w:rsidR="005278CF" w:rsidRPr="005278CF">
        <w:t xml:space="preserve">pdf, .doc, </w:t>
      </w:r>
      <w:r w:rsidR="005278CF">
        <w:t>.</w:t>
      </w:r>
      <w:r w:rsidR="00934C7A">
        <w:t xml:space="preserve">docx, </w:t>
      </w:r>
      <w:r w:rsidR="00DB23AD">
        <w:t>opatrzonej</w:t>
      </w:r>
      <w:r w:rsidR="00470DA4" w:rsidRPr="005278CF">
        <w:t xml:space="preserve"> kwalifik</w:t>
      </w:r>
      <w:r w:rsidR="00690F8F">
        <w:t>owanym podpisem elektronicznym</w:t>
      </w:r>
      <w:r w:rsidR="00DB23AD">
        <w:t>)</w:t>
      </w:r>
      <w:r w:rsidR="00690F8F">
        <w:t>.</w:t>
      </w:r>
    </w:p>
    <w:p w14:paraId="494279A8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elektronicznym. Następnie z tego folderu Wykonawca zrobi folder .zip (bez nadawania</w:t>
      </w:r>
      <w:r>
        <w:t xml:space="preserve"> </w:t>
      </w:r>
      <w:r w:rsidRPr="00470DA4">
        <w:t xml:space="preserve">mu haseł i bez szyfrowania). </w:t>
      </w:r>
      <w:r w:rsidR="00934C7A">
        <w:br/>
      </w:r>
      <w:r w:rsidRPr="00470DA4">
        <w:t>W kolejnym kroku za pośrednictwem Aplikacji do szyfrowania Wykonawca zaszyfruje folder zawierający dokume</w:t>
      </w:r>
      <w:r>
        <w:t xml:space="preserve">nty składające się na ofertę. </w:t>
      </w:r>
    </w:p>
    <w:p w14:paraId="164205C4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7DE3DA9C" w14:textId="77777777" w:rsidR="005102F9" w:rsidRDefault="005102F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Zgodnie z art. 63 ust. 1 ustawy, w postępowaniu o udzielenie zamówienia lub konkursie </w:t>
      </w:r>
      <w:r w:rsidR="00934C7A">
        <w:br/>
      </w:r>
      <w:r>
        <w:t xml:space="preserve">o wartości równej lub przekraczającej progi unijne ofertę, wniosek o dopuszczenie do udziału </w:t>
      </w:r>
      <w:r w:rsidR="00934C7A">
        <w:br/>
      </w:r>
      <w: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>
        <w:br/>
      </w:r>
      <w:r>
        <w:t xml:space="preserve">w formie elektronicznej. </w:t>
      </w:r>
    </w:p>
    <w:p w14:paraId="29468B88" w14:textId="269ABEB9" w:rsidR="0044650A" w:rsidRPr="005102F9" w:rsidRDefault="0044650A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3. </w:t>
      </w:r>
      <w:r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>
        <w:t>u</w:t>
      </w:r>
      <w:r>
        <w:t xml:space="preserve"> JEDZ</w:t>
      </w:r>
      <w:r w:rsidR="008C6445">
        <w:t>,</w:t>
      </w:r>
      <w:r>
        <w:t xml:space="preserve"> stanowiący</w:t>
      </w:r>
      <w:r w:rsidR="008C6445">
        <w:t>m</w:t>
      </w:r>
      <w:r>
        <w:t xml:space="preserve">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3</w:t>
      </w:r>
      <w:r w:rsidRPr="003B3F14">
        <w:rPr>
          <w:b/>
        </w:rPr>
        <w:t xml:space="preserve"> do SWZ</w:t>
      </w:r>
      <w:r>
        <w:t xml:space="preserve">, zgodnie ze wzorem standardowego formularza określonego w rozporządzeniu wykonawczym Komisji (UE)2016/7 </w:t>
      </w:r>
      <w:r w:rsidR="003B3F14">
        <w:br/>
      </w:r>
      <w:r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ePUAP i udostępnionego również na miniPortalu. Sposób złożenia oferty opisany został w Instrukcji użytkownika dostępnej na miniPortalu. </w:t>
      </w:r>
    </w:p>
    <w:p w14:paraId="00FCD000" w14:textId="2079F861" w:rsidR="00954CF2" w:rsidRPr="00FF21E5" w:rsidRDefault="00954CF2" w:rsidP="00683850">
      <w:pPr>
        <w:spacing w:line="276" w:lineRule="auto"/>
        <w:jc w:val="both"/>
        <w:rPr>
          <w:b/>
          <w:u w:val="single"/>
        </w:rPr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 xml:space="preserve">Ofertę wraz z wymaganymi załącznikami </w:t>
      </w:r>
      <w:r w:rsidRPr="00FF21E5">
        <w:rPr>
          <w:b/>
          <w:u w:val="single"/>
        </w:rPr>
        <w:t xml:space="preserve">należy złożyć w terminie do dnia </w:t>
      </w:r>
      <w:r w:rsidR="00030E34" w:rsidRPr="00FF21E5">
        <w:rPr>
          <w:b/>
          <w:u w:val="single"/>
        </w:rPr>
        <w:t>19.07</w:t>
      </w:r>
      <w:r w:rsidR="001A48A5" w:rsidRPr="00FF21E5">
        <w:rPr>
          <w:b/>
          <w:u w:val="single"/>
        </w:rPr>
        <w:t>.2021 r.</w:t>
      </w:r>
      <w:r w:rsidR="00917C70" w:rsidRPr="00FF21E5">
        <w:rPr>
          <w:b/>
          <w:u w:val="single"/>
        </w:rPr>
        <w:t xml:space="preserve">, </w:t>
      </w:r>
      <w:r w:rsidR="001A48A5" w:rsidRPr="00FF21E5">
        <w:rPr>
          <w:b/>
          <w:u w:val="single"/>
        </w:rPr>
        <w:br/>
      </w:r>
      <w:r w:rsidR="00917C70" w:rsidRPr="00FF21E5">
        <w:rPr>
          <w:b/>
          <w:u w:val="single"/>
        </w:rPr>
        <w:t xml:space="preserve">do godz. </w:t>
      </w:r>
      <w:r w:rsidR="005B129F" w:rsidRPr="00FF21E5">
        <w:rPr>
          <w:b/>
          <w:u w:val="single"/>
        </w:rPr>
        <w:t>1</w:t>
      </w:r>
      <w:r w:rsidR="005A1D5E" w:rsidRPr="00FF21E5">
        <w:rPr>
          <w:b/>
          <w:u w:val="single"/>
        </w:rPr>
        <w:t>0</w:t>
      </w:r>
      <w:r w:rsidR="005B129F" w:rsidRPr="00FF21E5">
        <w:rPr>
          <w:b/>
          <w:u w:val="single"/>
        </w:rPr>
        <w:t>:00</w:t>
      </w:r>
      <w:r w:rsidRPr="00FF21E5">
        <w:rPr>
          <w:b/>
          <w:u w:val="single"/>
        </w:rPr>
        <w:t xml:space="preserve">. </w:t>
      </w:r>
    </w:p>
    <w:p w14:paraId="7DC4359C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 xml:space="preserve">Wykonawca może złożyć tylko jedną ofertę. </w:t>
      </w:r>
    </w:p>
    <w:p w14:paraId="6B49A8EB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 xml:space="preserve">Zamawiający odrzuci ofertę złożoną po terminie składania ofert. </w:t>
      </w:r>
    </w:p>
    <w:p w14:paraId="03E21F82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FF21E5">
        <w:br/>
      </w:r>
      <w:r w:rsidRPr="00FF21E5">
        <w:t xml:space="preserve">i zachować. Będzie on potrzebny w razie ewentualnego wycofania oferty. </w:t>
      </w:r>
    </w:p>
    <w:p w14:paraId="14DF7381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B5ED4F5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>Wykonawca po upływie terminu do składania ofert nie może wycofać złożonej oferty.</w:t>
      </w:r>
    </w:p>
    <w:p w14:paraId="601CA494" w14:textId="77777777" w:rsidR="00954CF2" w:rsidRPr="00FF21E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FF21E5">
        <w:rPr>
          <w:rFonts w:ascii="Calibri" w:hAnsi="Calibri"/>
          <w:sz w:val="26"/>
          <w:szCs w:val="26"/>
        </w:rPr>
        <w:t>Rozdział 1</w:t>
      </w:r>
      <w:r w:rsidR="00A33BCB" w:rsidRPr="00FF21E5">
        <w:rPr>
          <w:rFonts w:ascii="Calibri" w:hAnsi="Calibri"/>
          <w:sz w:val="26"/>
          <w:szCs w:val="26"/>
        </w:rPr>
        <w:t>2</w:t>
      </w:r>
      <w:r w:rsidRPr="00FF21E5">
        <w:rPr>
          <w:rFonts w:ascii="Calibri" w:hAnsi="Calibri"/>
          <w:sz w:val="26"/>
          <w:szCs w:val="26"/>
        </w:rPr>
        <w:t xml:space="preserve"> </w:t>
      </w:r>
      <w:r w:rsidRPr="00FF21E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1FB6F458" w:rsidR="00954CF2" w:rsidRPr="005B129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 xml:space="preserve">Otwarcie ofert </w:t>
      </w:r>
      <w:r w:rsidRPr="00FF21E5">
        <w:rPr>
          <w:b/>
          <w:u w:val="single"/>
        </w:rPr>
        <w:t xml:space="preserve">nastąpi w dniu </w:t>
      </w:r>
      <w:r w:rsidR="00030E34" w:rsidRPr="00FF21E5">
        <w:rPr>
          <w:b/>
          <w:u w:val="single"/>
        </w:rPr>
        <w:t>19.07</w:t>
      </w:r>
      <w:r w:rsidR="005B129F" w:rsidRPr="00FF21E5">
        <w:rPr>
          <w:b/>
          <w:u w:val="single"/>
        </w:rPr>
        <w:t>.2021 r., o godzinie 1</w:t>
      </w:r>
      <w:r w:rsidR="00030E34" w:rsidRPr="00FF21E5">
        <w:rPr>
          <w:b/>
          <w:u w:val="single"/>
        </w:rPr>
        <w:t>2</w:t>
      </w:r>
      <w:r w:rsidR="005B129F" w:rsidRPr="00FF21E5">
        <w:rPr>
          <w:b/>
          <w:u w:val="single"/>
        </w:rPr>
        <w:t>:</w:t>
      </w:r>
      <w:r w:rsidR="00030E34" w:rsidRPr="00FF21E5">
        <w:rPr>
          <w:b/>
          <w:u w:val="single"/>
        </w:rPr>
        <w:t>0</w:t>
      </w:r>
      <w:r w:rsidR="00917C70" w:rsidRPr="00FF21E5">
        <w:rPr>
          <w:b/>
          <w:u w:val="single"/>
        </w:rPr>
        <w:t>0.</w:t>
      </w:r>
      <w:r w:rsidRPr="005B129F">
        <w:t xml:space="preserve"> </w:t>
      </w:r>
    </w:p>
    <w:p w14:paraId="2113BF82" w14:textId="77777777"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B12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>Otwarcie ofert jest niejawne.</w:t>
      </w:r>
      <w:r w:rsidRPr="001A48A5">
        <w:t xml:space="preserve"> </w:t>
      </w:r>
    </w:p>
    <w:p w14:paraId="0DA6AE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3BD34354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2512E4F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E08FDFC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7F31FA">
        <w:t>ę</w:t>
      </w:r>
      <w:r>
        <w:t xml:space="preserve">powania o udzielenie zamówienia </w:t>
      </w:r>
      <w:r w:rsidR="001677A3">
        <w:t>wyklucza si</w:t>
      </w:r>
      <w:r w:rsidR="007F31FA">
        <w:t>ę</w:t>
      </w:r>
      <w:r w:rsidR="001677A3">
        <w:t xml:space="preserve"> Wykonawcę na podstawie art. 108 ustawy</w:t>
      </w:r>
      <w:r>
        <w:t xml:space="preserve"> z zastrzeżeniem</w:t>
      </w:r>
      <w:r w:rsidR="001677A3">
        <w:t xml:space="preserve"> art. 110 ust. 2 pzp</w:t>
      </w:r>
      <w:r>
        <w:t xml:space="preserve">: </w:t>
      </w:r>
    </w:p>
    <w:p w14:paraId="754C1331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28943A7" w14:textId="1299052C" w:rsidR="00954CF2" w:rsidRDefault="00954CF2" w:rsidP="00683850">
      <w:pPr>
        <w:spacing w:line="276" w:lineRule="auto"/>
        <w:jc w:val="both"/>
      </w:pPr>
      <w:r>
        <w:t xml:space="preserve">a) udziału w zorganizowanej grupie przestępczej albo </w:t>
      </w:r>
      <w:r w:rsidR="007F31FA">
        <w:t>związku</w:t>
      </w:r>
      <w:r>
        <w:t xml:space="preserve"> </w:t>
      </w:r>
      <w:r w:rsidR="007F31FA">
        <w:t>mającym</w:t>
      </w:r>
      <w:r>
        <w:t xml:space="preserve"> na celu popełnienie </w:t>
      </w:r>
      <w:r w:rsidR="007F31FA">
        <w:t>przestępstwa</w:t>
      </w:r>
      <w:r>
        <w:t xml:space="preserve"> lub </w:t>
      </w:r>
      <w:r w:rsidR="007F31FA">
        <w:t>przestępstwa</w:t>
      </w:r>
      <w:r>
        <w:t xml:space="preserve"> skarbowego, o którym mowa w art. 258 Kodeksu karnego, </w:t>
      </w:r>
    </w:p>
    <w:p w14:paraId="66F51317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62EA46C0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C726A">
        <w:br/>
      </w:r>
      <w:r>
        <w:t xml:space="preserve">z dnia 25 czerwca 2010 r. o sporcie, </w:t>
      </w:r>
    </w:p>
    <w:p w14:paraId="50A92C16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50D16E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2340CEE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01E0FA14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EE68F28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5E0ECCB8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78D0A1DB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76DE47CA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48750CB0" w14:textId="6573C7CE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4B0175">
        <w:br/>
      </w:r>
      <w:r>
        <w:t xml:space="preserve">od siebie; </w:t>
      </w:r>
    </w:p>
    <w:p w14:paraId="4D74A2F7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0E9CAE35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  <w:r w:rsidR="00B040CA">
        <w:t xml:space="preserve"> Wykluczenie Wykonawcy następuje na okres określony w art. 111 ustawy.</w:t>
      </w:r>
    </w:p>
    <w:p w14:paraId="2BD3DDE1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</w:t>
      </w:r>
      <w:r w:rsidR="001677A3">
        <w:rPr>
          <w:rFonts w:eastAsiaTheme="minorHAnsi" w:cs="Calibri"/>
        </w:rPr>
        <w:t xml:space="preserve"> </w:t>
      </w:r>
      <w:r w:rsidR="00B040CA">
        <w:rPr>
          <w:rFonts w:eastAsiaTheme="minorHAnsi" w:cs="Calibri"/>
        </w:rPr>
        <w:br/>
      </w:r>
      <w:r w:rsidR="001677A3">
        <w:rPr>
          <w:rFonts w:eastAsiaTheme="minorHAnsi" w:cs="Calibri"/>
        </w:rPr>
        <w:t>ust. 1 pkt 1, 2 i 5</w:t>
      </w:r>
      <w:r w:rsidR="00D661E0">
        <w:rPr>
          <w:rFonts w:eastAsiaTheme="minorHAnsi" w:cs="Calibri"/>
        </w:rPr>
        <w:t>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9F3C42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17B9B81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4AD8C1D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789153B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7A462C1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1162B4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A86E9D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24C55C4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71284C52" w14:textId="7CC998CA" w:rsidR="00A6320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2CE23B0D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7E0032DE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AC63FC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D07115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53827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353827" w:rsidRPr="00D07115">
        <w:rPr>
          <w:rFonts w:asciiTheme="minorHAnsi" w:eastAsiaTheme="minorHAnsi" w:hAnsiTheme="minorHAnsi" w:cstheme="minorHAnsi"/>
          <w:szCs w:val="20"/>
        </w:rPr>
        <w:t>ubiega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353827" w:rsidRPr="00D07115">
        <w:rPr>
          <w:rFonts w:asciiTheme="minorHAnsi" w:eastAsiaTheme="minorHAnsi" w:hAnsiTheme="minorHAnsi" w:cstheme="minorHAnsi"/>
          <w:szCs w:val="20"/>
        </w:rPr>
        <w:t>si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353827">
        <w:rPr>
          <w:rFonts w:asciiTheme="minorHAnsi" w:eastAsiaTheme="minorHAnsi" w:hAnsiTheme="minorHAnsi" w:cstheme="minorHAnsi"/>
          <w:szCs w:val="20"/>
        </w:rPr>
        <w:t>W</w:t>
      </w:r>
      <w:r w:rsidR="00353827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53D84DA2" w14:textId="77777777" w:rsidR="00353827" w:rsidRPr="00F51420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1) nie podlegaj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wykluczeniu z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Pr="00F51420">
        <w:rPr>
          <w:rFonts w:asciiTheme="minorHAnsi" w:eastAsiaTheme="minorHAnsi" w:hAnsiTheme="minorHAnsi" w:cstheme="minorHAnsi"/>
          <w:szCs w:val="20"/>
        </w:rPr>
        <w:t>powania;</w:t>
      </w:r>
    </w:p>
    <w:p w14:paraId="2C271C3D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2) spełniaj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warunki udziału w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="00BE5C53" w:rsidRPr="00F51420">
        <w:rPr>
          <w:rFonts w:asciiTheme="minorHAnsi" w:eastAsiaTheme="minorHAnsi" w:hAnsiTheme="minorHAnsi" w:cstheme="minorHAnsi"/>
          <w:szCs w:val="20"/>
        </w:rPr>
        <w:t>powaniu.</w:t>
      </w:r>
    </w:p>
    <w:p w14:paraId="73732893" w14:textId="77777777" w:rsidR="00BE5C53" w:rsidRPr="00334725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E5C53"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="00BE5C53" w:rsidRPr="00334725">
        <w:rPr>
          <w:rFonts w:asciiTheme="minorHAnsi" w:hAnsiTheme="minorHAnsi" w:cstheme="minorHAnsi"/>
          <w:bCs/>
        </w:rPr>
        <w:t xml:space="preserve">przez Zamawiającego </w:t>
      </w:r>
      <w:r w:rsidR="00BE5C53" w:rsidRPr="00334725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BE5C53" w:rsidRPr="00334725">
        <w:rPr>
          <w:rFonts w:asciiTheme="minorHAnsi" w:hAnsiTheme="minorHAnsi" w:cstheme="minorHAnsi"/>
          <w:bCs/>
        </w:rPr>
        <w:t xml:space="preserve">: </w:t>
      </w:r>
    </w:p>
    <w:p w14:paraId="23E87622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a) zdolno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ci do wyst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808AB07" w14:textId="6DE94802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b) uprawnie</w:t>
      </w:r>
      <w:r w:rsidRPr="00334725">
        <w:rPr>
          <w:rFonts w:asciiTheme="minorHAnsi" w:eastAsia="TimesNewRoman" w:hAnsiTheme="minorHAnsi" w:cstheme="minorHAnsi"/>
          <w:szCs w:val="20"/>
        </w:rPr>
        <w:t xml:space="preserve">ń </w:t>
      </w:r>
      <w:r w:rsidRPr="00334725">
        <w:rPr>
          <w:rFonts w:asciiTheme="minorHAnsi" w:eastAsiaTheme="minorHAnsi" w:hAnsiTheme="minorHAnsi" w:cstheme="minorHAnsi"/>
          <w:szCs w:val="20"/>
        </w:rPr>
        <w:t>do prowadzenia okre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lonej działalno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 xml:space="preserve">ci gospodarczej lub zawodowej, </w:t>
      </w:r>
      <w:r w:rsidR="00F37EE8">
        <w:rPr>
          <w:rFonts w:asciiTheme="minorHAnsi" w:eastAsiaTheme="minorHAnsi" w:hAnsiTheme="minorHAnsi" w:cstheme="minorHAnsi"/>
          <w:szCs w:val="20"/>
        </w:rPr>
        <w:br/>
        <w:t xml:space="preserve">o ile wynika </w:t>
      </w:r>
      <w:r w:rsidRPr="00334725">
        <w:rPr>
          <w:rFonts w:asciiTheme="minorHAnsi" w:eastAsiaTheme="minorHAnsi" w:hAnsiTheme="minorHAnsi" w:cstheme="minorHAnsi"/>
          <w:szCs w:val="20"/>
        </w:rPr>
        <w:t>to z odr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F95F99E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06B9A08" w14:textId="5CF76B1D" w:rsidR="00A6320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1873010" w14:textId="4587553A" w:rsidR="00C06538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>
        <w:rPr>
          <w:rFonts w:asciiTheme="minorHAnsi" w:eastAsiaTheme="minorHAnsi" w:hAnsiTheme="minorHAnsi" w:cstheme="minorHAnsi"/>
          <w:szCs w:val="20"/>
        </w:rPr>
        <w:br/>
        <w:t>w tym zakresie.</w:t>
      </w:r>
    </w:p>
    <w:p w14:paraId="73DD5A26" w14:textId="77777777" w:rsidR="007F31FA" w:rsidRPr="00E50D84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3A4B968D" w14:textId="77777777" w:rsidR="00DE6B19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15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DE6B19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</w:t>
      </w:r>
      <w:r>
        <w:rPr>
          <w:rFonts w:asciiTheme="minorHAnsi" w:eastAsiaTheme="minorHAnsi" w:hAnsiTheme="minorHAnsi" w:cstheme="minorHAnsi"/>
          <w:sz w:val="26"/>
          <w:szCs w:val="26"/>
        </w:rPr>
        <w:t>ZENIA BRAKU PODSTAW WYKLUCZENIA</w:t>
      </w:r>
    </w:p>
    <w:p w14:paraId="00DB76AB" w14:textId="77777777" w:rsidR="00E63282" w:rsidRDefault="00E63282" w:rsidP="003B3F14">
      <w:pPr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W celu potwierdzenia braku podstaw wykluczenia Wykonawcy z udziału w postępowaniu </w:t>
      </w:r>
      <w:r w:rsidR="003B3F14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63282" w:rsidRDefault="00E63282" w:rsidP="00091631">
      <w:pPr>
        <w:pStyle w:val="Akapitzlist"/>
        <w:numPr>
          <w:ilvl w:val="0"/>
          <w:numId w:val="16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Informacji z Krajowego Rejestru Karnego w zakresie:</w:t>
      </w:r>
    </w:p>
    <w:p w14:paraId="6661FA26" w14:textId="77777777" w:rsidR="00E63282" w:rsidRPr="00E63282" w:rsidRDefault="00E63282" w:rsidP="00091631">
      <w:pPr>
        <w:pStyle w:val="Akapitzlist"/>
        <w:numPr>
          <w:ilvl w:val="1"/>
          <w:numId w:val="17"/>
        </w:numPr>
      </w:pPr>
      <w:r w:rsidRPr="00091631">
        <w:rPr>
          <w:rFonts w:asciiTheme="minorHAnsi" w:eastAsiaTheme="minorHAnsi" w:hAnsiTheme="minorHAnsi" w:cstheme="minorHAnsi"/>
          <w:szCs w:val="20"/>
        </w:rPr>
        <w:t>art. 108 ust. 1 pkt 1 i 2 ustawy,</w:t>
      </w:r>
    </w:p>
    <w:p w14:paraId="57C6673C" w14:textId="77777777" w:rsidR="00E63282" w:rsidRPr="00091631" w:rsidRDefault="00E63282" w:rsidP="00091631">
      <w:pPr>
        <w:pStyle w:val="Akapitzlist"/>
        <w:numPr>
          <w:ilvl w:val="1"/>
          <w:numId w:val="17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Default="00091631" w:rsidP="00091631">
      <w:pPr>
        <w:pStyle w:val="Akapitzlist"/>
        <w:jc w:val="both"/>
      </w:pPr>
      <w:r>
        <w:t>- sporządzonej nie wcześniej niż 6 miesięcy przed jej złożeniem.</w:t>
      </w:r>
    </w:p>
    <w:p w14:paraId="6E06D66D" w14:textId="77777777" w:rsidR="0059531E" w:rsidRDefault="0059531E" w:rsidP="0059531E">
      <w:pPr>
        <w:jc w:val="both"/>
        <w:rPr>
          <w:i/>
        </w:rPr>
      </w:pPr>
      <w:r w:rsidRPr="0059531E">
        <w:rPr>
          <w:i/>
        </w:rPr>
        <w:t xml:space="preserve">Jeżeli Wykonawca ma siedzibę lub miejsce zamieszkania poza granicami RP, zamiast informacji </w:t>
      </w:r>
      <w:r w:rsidRPr="0059531E">
        <w:rPr>
          <w:i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59531E">
        <w:rPr>
          <w:i/>
        </w:rPr>
        <w:br/>
        <w:t>w zakresie o którym mowa w 15.1.1.</w:t>
      </w:r>
    </w:p>
    <w:p w14:paraId="175D11DB" w14:textId="77777777" w:rsidR="00636024" w:rsidRPr="0059531E" w:rsidRDefault="00636024" w:rsidP="0059531E">
      <w:pPr>
        <w:jc w:val="both"/>
        <w:rPr>
          <w:i/>
        </w:rPr>
      </w:pPr>
      <w:r>
        <w:rPr>
          <w:i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>
        <w:rPr>
          <w:i/>
        </w:rPr>
        <w:br/>
      </w:r>
      <w:r>
        <w:rPr>
          <w:i/>
        </w:rPr>
        <w:t xml:space="preserve">w całości lub w części dokumentem zawierającym odpowiednio oświadczenie Wykonawcy </w:t>
      </w:r>
      <w:r w:rsidR="00C5771A">
        <w:rPr>
          <w:i/>
        </w:rPr>
        <w:br/>
      </w:r>
      <w:r>
        <w:rPr>
          <w:i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>
        <w:rPr>
          <w:i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>
        <w:rPr>
          <w:i/>
        </w:rPr>
        <w:t xml:space="preserve">. Dokument powinien być wystawiony nie wcześniej niż 6 miesięcy przed jego złożeniem. </w:t>
      </w:r>
      <w:r w:rsidR="00C5771A" w:rsidRPr="00F9043E">
        <w:t xml:space="preserve">(Rozporządzenie Ministra Rozwoju, Pracy i Technologii w sprawie podmiotowych środków dowodowych oraz innych dokumentów lub oświadczeń, jakich może żądać Zamawiający </w:t>
      </w:r>
      <w:r w:rsidR="00C5771A" w:rsidRPr="00F9043E">
        <w:br/>
        <w:t>od Wykonawcy z dnia 30 grudnia 2020 r., poz. 2415)</w:t>
      </w:r>
    </w:p>
    <w:p w14:paraId="6882B494" w14:textId="6D2CB6DF" w:rsidR="00091631" w:rsidRPr="003B3F14" w:rsidRDefault="00091631" w:rsidP="0017158B">
      <w:pPr>
        <w:pStyle w:val="Akapitzlist"/>
        <w:numPr>
          <w:ilvl w:val="0"/>
          <w:numId w:val="16"/>
        </w:numPr>
        <w:spacing w:after="240"/>
        <w:jc w:val="both"/>
      </w:pPr>
      <w:r>
        <w:t xml:space="preserve">oświadczenia Wykonawcy w zakresie art. 108 ust. 1 pkt 5 ustawy, o braku przynależności </w:t>
      </w:r>
      <w:r w:rsidR="003B3F14">
        <w:br/>
      </w:r>
      <w:r>
        <w:t xml:space="preserve">do tej samej grupy kapitałowej w rozumieniu ustawy z dnia 16 lutego 2007 r. o ochronie konkurencji i konsumentów (Dz. U. z 2020 r., poz. 1076 i 1086), z innym Wykonawcą, </w:t>
      </w:r>
      <w:r w:rsidR="003727DB">
        <w:br/>
      </w:r>
      <w:r>
        <w:t xml:space="preserve">który złożył odrębną ofertę, ofertę częściową lub wniosek o dopuszczenie do udziału </w:t>
      </w:r>
      <w:r>
        <w:br/>
        <w:t xml:space="preserve">w postępowaniu, albo oświadczenia o przynależności do tej samej grupy kapitałowej </w:t>
      </w:r>
      <w:r>
        <w:br/>
        <w:t xml:space="preserve">wraz z dokumentami lub informacjami potwierdzającymi przygotowanie oferty, </w:t>
      </w:r>
      <w:r w:rsidR="003727DB">
        <w:br/>
      </w:r>
      <w:r>
        <w:t xml:space="preserve">oferty częściowej lub wniosku o dopuszczenie do udziału w postepowaniu niezależnie </w:t>
      </w:r>
      <w:r w:rsidR="003727DB">
        <w:br/>
      </w:r>
      <w:r>
        <w:t xml:space="preserve">od innego Wykonawcy należącego do tej samej grupy </w:t>
      </w:r>
      <w:r w:rsidRPr="003B3F14">
        <w:t xml:space="preserve">kapitałowej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5</w:t>
      </w:r>
      <w:r w:rsidRPr="003B3F14">
        <w:rPr>
          <w:b/>
        </w:rPr>
        <w:t xml:space="preserve"> do SWZ</w:t>
      </w:r>
      <w:r w:rsidRPr="003B3F14">
        <w:t>,</w:t>
      </w:r>
    </w:p>
    <w:p w14:paraId="7956908B" w14:textId="77777777" w:rsidR="00091631" w:rsidRPr="003B3F14" w:rsidRDefault="00091631" w:rsidP="0017158B">
      <w:pPr>
        <w:pStyle w:val="Akapitzlist"/>
        <w:numPr>
          <w:ilvl w:val="0"/>
          <w:numId w:val="16"/>
        </w:numPr>
        <w:spacing w:before="240"/>
        <w:jc w:val="both"/>
      </w:pPr>
      <w:r w:rsidRPr="003B3F14">
        <w:t xml:space="preserve">oświadczenie Wykonawcy o aktualności informacji zawartych w oświadczeniu, o którym mowa w art. 125 ust. 1 ustawy w zakresie podstaw wykluczenia z postępowania w zakresie </w:t>
      </w:r>
      <w:r w:rsidR="003B3F14">
        <w:br/>
      </w:r>
      <w:r w:rsidRPr="003B3F14">
        <w:t xml:space="preserve">art. 108 ust. 1 pkt 3, art. 108 ust. 1 pkt 5 oraz art. 108 ust. 1 pkt 6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4</w:t>
      </w:r>
      <w:r w:rsidRPr="003B3F14">
        <w:rPr>
          <w:b/>
        </w:rPr>
        <w:t xml:space="preserve"> do SWZ</w:t>
      </w:r>
      <w:r w:rsidRPr="003B3F14">
        <w:t>.</w:t>
      </w:r>
    </w:p>
    <w:p w14:paraId="08F40B3A" w14:textId="77777777" w:rsidR="00DE6B19" w:rsidRPr="00DE6B1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155F64BF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E50D84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7012B00B" w14:textId="77777777" w:rsidR="009B389D" w:rsidRPr="00407A0D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załącznik nr </w:t>
      </w:r>
      <w:r w:rsidR="00333B90"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7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 do SWZ,</w:t>
      </w:r>
    </w:p>
    <w:p w14:paraId="55C80768" w14:textId="61F6AB48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</w:t>
      </w:r>
      <w:r w:rsidRPr="00407A0D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załącznik nr 8 do SWZ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17F89095" w14:textId="76515FEF" w:rsidR="00A33BC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przedmiotowe śr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391648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14:paraId="35CF5DE6" w14:textId="77777777" w:rsidR="009B389D" w:rsidRPr="001C726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dotyczy;</w:t>
      </w:r>
    </w:p>
    <w:p w14:paraId="6F521C1D" w14:textId="77777777" w:rsid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DE6B19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6D765ABB" w14:textId="067C40E3"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8E1EAD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j.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 formie elektronicznej</w:t>
      </w:r>
      <w:r w:rsidR="003C2D4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)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. Dopuszcza się także złożenie elektronicznej kopii (skanu) pełnomocnictwa sporządzonego uprzednio w formie pis</w:t>
      </w:r>
      <w:r w:rsidR="003C2D4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emnej, w formie elektronicznego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poświadczenia sporządzonego stosownie do art. 97 § 2 ustawy z dnia 14 lutego 1991 r. </w:t>
      </w:r>
      <w:r w:rsidR="00D667C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Prawo </w:t>
      </w:r>
      <w:r w:rsidR="003C2D4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opatruje kwalifikowanym podpisem elektronicznym</w:t>
      </w:r>
      <w:r w:rsidR="003C2D4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.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Elektroniczna kopia pełnomocnictwa nie może być uwierzytelniona przez upełnomocnionego. </w:t>
      </w:r>
    </w:p>
    <w:p w14:paraId="7083BC1B" w14:textId="77777777" w:rsidR="00A3532F" w:rsidRDefault="00DE6B19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="00A3532F" w:rsidRPr="00C903DC">
        <w:rPr>
          <w:b/>
        </w:rPr>
        <w:t>ykonawcę</w:t>
      </w:r>
      <w:r>
        <w:rPr>
          <w:b/>
        </w:rPr>
        <w:t xml:space="preserve"> w trybie </w:t>
      </w:r>
      <w:r w:rsidR="00E50D84">
        <w:rPr>
          <w:b/>
        </w:rPr>
        <w:br/>
      </w:r>
      <w:r>
        <w:rPr>
          <w:b/>
        </w:rPr>
        <w:t>art. 273 ust. 1 ustawy</w:t>
      </w:r>
      <w:r w:rsidR="00A3532F" w:rsidRPr="00C903DC">
        <w:t xml:space="preserve">, którego oferta została najwyżej oceniona, do złożenia </w:t>
      </w:r>
      <w:r>
        <w:t xml:space="preserve">w terminie </w:t>
      </w:r>
      <w:r w:rsidR="00A3532F" w:rsidRPr="00C903DC">
        <w:t xml:space="preserve">nie krótszym </w:t>
      </w:r>
      <w:r w:rsidR="00BA7E48">
        <w:br/>
      </w:r>
      <w:r w:rsidR="00A3532F" w:rsidRPr="00C903DC">
        <w:t xml:space="preserve">niż </w:t>
      </w:r>
      <w:r w:rsidR="001C726A">
        <w:t>10</w:t>
      </w:r>
      <w:r>
        <w:t xml:space="preserve"> dni od dnia wezwania, </w:t>
      </w:r>
      <w:r w:rsidR="00A3532F" w:rsidRPr="00C903DC">
        <w:t xml:space="preserve">aktualnych na dzień złożenia następujących </w:t>
      </w:r>
      <w:r>
        <w:t>dokumentów</w:t>
      </w:r>
      <w:r w:rsidR="00A3532F" w:rsidRPr="00C903DC">
        <w:t>:</w:t>
      </w:r>
    </w:p>
    <w:p w14:paraId="08D44189" w14:textId="77777777" w:rsidR="00DE6B19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podmiotowe środki dowodowe na potwierdzenie spełniania warunków udziału </w:t>
      </w:r>
      <w:r w:rsidR="00BA7E48">
        <w:br/>
      </w:r>
      <w:r>
        <w:t>w postępowaniu, zgodnie z pkt 14.</w:t>
      </w:r>
      <w:r w:rsidR="004A191B">
        <w:t>2</w:t>
      </w:r>
      <w:r w:rsidR="00E50D84">
        <w:t xml:space="preserve"> i 14.3</w:t>
      </w:r>
      <w:r>
        <w:t xml:space="preserve"> SWZ – jeżeli dotyczy;</w:t>
      </w:r>
    </w:p>
    <w:p w14:paraId="51E2E3A2" w14:textId="77777777" w:rsidR="00DE6B19" w:rsidRPr="00E50D84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 w:rsidRPr="00E50D84">
        <w:t>podmiotowe środki dowodowe oraz oświadczenia na potwierdzenie braku po</w:t>
      </w:r>
      <w:r w:rsidR="009C365F" w:rsidRPr="00E50D84">
        <w:t>dstaw wykluczenia zgodnie z pkt</w:t>
      </w:r>
      <w:r w:rsidR="004A191B" w:rsidRPr="00E50D84">
        <w:t xml:space="preserve"> 15.1 SWZ</w:t>
      </w:r>
      <w:r w:rsidR="009C365F" w:rsidRPr="00E50D84">
        <w:t>;</w:t>
      </w:r>
    </w:p>
    <w:p w14:paraId="0843A6E8" w14:textId="4CAEF059" w:rsidR="009C365F" w:rsidRPr="00C903DC" w:rsidRDefault="009C365F" w:rsidP="007D369A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oświadczenie z art. 125 ust. 1 </w:t>
      </w:r>
      <w:r w:rsidRPr="00BA7E48">
        <w:t xml:space="preserve">ustawy – </w:t>
      </w:r>
      <w:r w:rsidRPr="007D369A">
        <w:rPr>
          <w:b/>
          <w:bCs/>
        </w:rPr>
        <w:t xml:space="preserve">załącznik nr </w:t>
      </w:r>
      <w:r w:rsidR="00BA7E48" w:rsidRPr="007D369A">
        <w:rPr>
          <w:b/>
          <w:bCs/>
        </w:rPr>
        <w:t>3</w:t>
      </w:r>
      <w:r w:rsidRPr="007D369A">
        <w:rPr>
          <w:b/>
          <w:bCs/>
        </w:rPr>
        <w:t xml:space="preserve"> do SWZ</w:t>
      </w:r>
      <w:r w:rsidR="007F31FA">
        <w:t>.</w:t>
      </w:r>
    </w:p>
    <w:p w14:paraId="2666B8B9" w14:textId="77777777" w:rsidR="0022263F" w:rsidRDefault="00A3532F" w:rsidP="0022263F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2263F">
        <w:t xml:space="preserve">Zgodnie z art. 128 ust. 1 ustawy, jeżeli Wykonawca nie złożył oświadczenia, o którym mowa </w:t>
      </w:r>
      <w:r w:rsidR="0022263F">
        <w:br/>
        <w:t xml:space="preserve">w art. 125 ust. 1 ustawy, podmiotowych środków dowodowych, innych dokumentów lub oświadczeń składanych w postępowaniu lub są one niekompletne lub zawierają błędy, </w:t>
      </w:r>
      <w:r w:rsidR="004208F3">
        <w:t>Z</w:t>
      </w:r>
      <w:r w:rsidR="0022263F">
        <w:t xml:space="preserve">amawiający wzywa </w:t>
      </w:r>
      <w:r w:rsidR="004208F3">
        <w:t>W</w:t>
      </w:r>
      <w:r w:rsidR="0022263F">
        <w:t xml:space="preserve">ykonawcę odpowiednio do ich złożenia, poprawienia lub uzupełnienia w wyznaczonym terminie, chyba że: </w:t>
      </w:r>
    </w:p>
    <w:p w14:paraId="4DC94BA7" w14:textId="77777777" w:rsidR="0022263F" w:rsidRDefault="0022263F" w:rsidP="0022263F">
      <w:pPr>
        <w:spacing w:line="276" w:lineRule="auto"/>
        <w:jc w:val="both"/>
      </w:pPr>
      <w:r>
        <w:t xml:space="preserve">1) wniosek o dopuszczenie do udziału w postępowaniu albo oferta </w:t>
      </w:r>
      <w:r w:rsidR="004208F3">
        <w:t>W</w:t>
      </w:r>
      <w:r>
        <w:t>ykonawcy podlegają odrzuceniu bez względu na ich złożenie, uzupełnienie lub poprawienie lub</w:t>
      </w:r>
    </w:p>
    <w:p w14:paraId="3E681338" w14:textId="77777777" w:rsidR="0022263F" w:rsidRDefault="0022263F" w:rsidP="0022263F">
      <w:pPr>
        <w:spacing w:line="276" w:lineRule="auto"/>
        <w:jc w:val="both"/>
      </w:pPr>
      <w:r>
        <w:t>2) zachodzą przesłanki unieważnienia postępowania.</w:t>
      </w:r>
    </w:p>
    <w:p w14:paraId="39B6251C" w14:textId="2E976064" w:rsidR="00A3532F" w:rsidRDefault="0022263F" w:rsidP="0022263F">
      <w:pPr>
        <w:spacing w:line="276" w:lineRule="auto"/>
        <w:jc w:val="both"/>
      </w:pPr>
      <w:r>
        <w:t xml:space="preserve">Wykonawca składa podmiotowe środki dowodowe na wezwanie, o którym mowa w ust. 1, aktualne na dzień ich złożenia. Złożenie, uzupełnienie lub poprawienie oświadczenia, o którym mowa </w:t>
      </w:r>
      <w:r w:rsidR="0017158B">
        <w:br/>
      </w:r>
      <w:r>
        <w:t>w art. 125 ust. 1, lub podmiotowych środków dowodowych nie może służyć potwierdzeniu spełniania kryteriów selekcji.</w:t>
      </w:r>
    </w:p>
    <w:p w14:paraId="1BBA6DE1" w14:textId="77777777" w:rsidR="00871B9A" w:rsidRPr="00871B9A" w:rsidRDefault="00871B9A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71B9A">
        <w:rPr>
          <w:b/>
        </w:rPr>
        <w:t>Wykonawca może</w:t>
      </w:r>
      <w:r>
        <w:t xml:space="preserve"> w celu potwierdzenia spełniania warunków udziału w postępowaniu </w:t>
      </w:r>
      <w:r>
        <w:br/>
        <w:t xml:space="preserve">lub kryteriów selekcji, w stosownych sytuacjach oraz w odniesieniu do konkretnego zamówienia, </w:t>
      </w:r>
      <w:r>
        <w:br/>
        <w:t xml:space="preserve">lub jego części, </w:t>
      </w:r>
      <w:r w:rsidRPr="00871B9A">
        <w:rPr>
          <w:b/>
        </w:rPr>
        <w:t xml:space="preserve">polegać na zdolnościach technicznych lub zawodowych lub sytuacji finansowej </w:t>
      </w:r>
      <w:r>
        <w:rPr>
          <w:b/>
        </w:rPr>
        <w:br/>
      </w:r>
      <w:r w:rsidRPr="00871B9A">
        <w:rPr>
          <w:b/>
        </w:rPr>
        <w:t>lub ekonomicznej podmiotów udostępniających zasoby</w:t>
      </w:r>
      <w:r>
        <w:t xml:space="preserve">, niezależnie od charakteru prawnego łączących go z nimi stosunków prawnych, na zasadach określonych w art. 118 ustawy. </w:t>
      </w:r>
    </w:p>
    <w:p w14:paraId="5A1607E2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1A395D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5BDBBB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</w:t>
      </w:r>
      <w:r w:rsidR="00A3532F" w:rsidRPr="00871B9A">
        <w:rPr>
          <w:b/>
        </w:rPr>
        <w:t xml:space="preserve">Oświadczenie to ma potwierdzać spełnienie warunków udziału w postępowaniu, </w:t>
      </w:r>
      <w:r w:rsidR="00B15884" w:rsidRPr="00871B9A">
        <w:rPr>
          <w:b/>
        </w:rPr>
        <w:br/>
      </w:r>
      <w:r w:rsidR="00A3532F" w:rsidRPr="00871B9A">
        <w:rPr>
          <w:b/>
        </w:rPr>
        <w:t>brak podstaw wykluczenia w zakresie, w którym każdy z Wykonawców wykazuje spełnienie warunków udziału w postępowaniu.</w:t>
      </w:r>
    </w:p>
    <w:p w14:paraId="7AD6A29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</w:t>
      </w:r>
      <w:r w:rsidR="000764A1">
        <w:t>.</w:t>
      </w:r>
      <w:r w:rsidR="00A3532F">
        <w:t xml:space="preserve"> 1.</w:t>
      </w:r>
    </w:p>
    <w:p w14:paraId="172919AF" w14:textId="0059B546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</w:t>
      </w:r>
      <w:r w:rsidR="00A3532F" w:rsidRPr="00871B9A">
        <w:rPr>
          <w:u w:val="single"/>
        </w:rPr>
        <w:t>nie wskaże w oświadczeniu części zamówienia, której wykonanie powierzy podwykonawcom</w:t>
      </w:r>
      <w:r w:rsidR="0017158B">
        <w:rPr>
          <w:u w:val="single"/>
        </w:rPr>
        <w:t>,</w:t>
      </w:r>
      <w:r w:rsidR="00A3532F" w:rsidRPr="00871B9A">
        <w:rPr>
          <w:u w:val="single"/>
        </w:rPr>
        <w:t xml:space="preserve"> Zamawiający uzna, iż całość zamówienia Wykonawca wykona </w:t>
      </w:r>
      <w:r w:rsidR="009323F9">
        <w:rPr>
          <w:u w:val="single"/>
        </w:rPr>
        <w:t>s</w:t>
      </w:r>
      <w:r w:rsidR="00A3532F" w:rsidRPr="00871B9A">
        <w:rPr>
          <w:u w:val="single"/>
        </w:rPr>
        <w:t>amodzielnie.</w:t>
      </w:r>
    </w:p>
    <w:p w14:paraId="1ECB0E5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</w:t>
      </w:r>
      <w:r w:rsidR="00F02DEC">
        <w:t>gać się o udzielenie zamówienia,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6EF1E92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18B982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31110EB3" w14:textId="17FEA971" w:rsidR="00A3532F" w:rsidRDefault="00A3532F" w:rsidP="00683850">
      <w:pPr>
        <w:spacing w:line="276" w:lineRule="auto"/>
        <w:jc w:val="both"/>
      </w:pPr>
      <w:r>
        <w:t>1) oferta wspólna powin</w:t>
      </w:r>
      <w:r w:rsidR="001B175A">
        <w:t>na być sporządzona zgodnie z</w:t>
      </w:r>
      <w:r w:rsidR="00A33BCB">
        <w:t xml:space="preserve"> S</w:t>
      </w:r>
      <w:r>
        <w:t>WZ;</w:t>
      </w:r>
    </w:p>
    <w:p w14:paraId="766DAD95" w14:textId="77777777"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3E64FA6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4208F3">
        <w:t xml:space="preserve">pkt </w:t>
      </w:r>
      <w:r w:rsidR="00B15884">
        <w:t>1</w:t>
      </w:r>
      <w:r w:rsidR="004208F3">
        <w:t>6</w:t>
      </w:r>
      <w:r w:rsidR="00B15884">
        <w:t xml:space="preserve"> </w:t>
      </w:r>
      <w:r w:rsidR="00A3532F">
        <w:t>ust. 1</w:t>
      </w:r>
      <w:r w:rsidR="00871B9A">
        <w:t>1</w:t>
      </w:r>
      <w:r w:rsidR="00A3532F">
        <w:t xml:space="preserve"> i </w:t>
      </w:r>
      <w:r w:rsidR="004208F3">
        <w:t>16</w:t>
      </w:r>
      <w:r w:rsidR="00B15884">
        <w:t xml:space="preserve"> ust. </w:t>
      </w:r>
      <w:r w:rsidR="00A3532F">
        <w:t>1</w:t>
      </w:r>
      <w:r w:rsidR="00871B9A">
        <w:t>4</w:t>
      </w:r>
      <w:r w:rsidR="00A3532F">
        <w:t>, ze skutkiem prawnym wobec wszystkich Wykonawców występujących wspólnie.</w:t>
      </w:r>
    </w:p>
    <w:p w14:paraId="42E6401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6359EEE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1271F2CD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15C633C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</w:t>
      </w:r>
      <w:r w:rsidR="003F1B35">
        <w:t>nie zastrzega obowiązku osobistego wykonania przez Wykonawcę przedmiotu zamówienia, w związku z powyższym Wykonawca może powierzyć wykonanie części zamówienia podwykonawcy</w:t>
      </w:r>
      <w:r w:rsidR="00A3532F">
        <w:t>.</w:t>
      </w:r>
    </w:p>
    <w:p w14:paraId="6FBCCD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  <w:r w:rsidR="00871B9A"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065C2F">
        <w:rPr>
          <w:b/>
        </w:rPr>
        <w:t>z</w:t>
      </w:r>
      <w:r w:rsidR="00A3532F" w:rsidRPr="00065C2F">
        <w:rPr>
          <w:b/>
        </w:rPr>
        <w:t>ałącznikiem nr 1 do SWZ</w:t>
      </w:r>
      <w:r w:rsidR="00A3532F" w:rsidRPr="00AE5401">
        <w:t>.</w:t>
      </w:r>
      <w:r w:rsidR="003F1B35">
        <w:t xml:space="preserve"> W przypadku, gdy Wykonawca nie zamierza wykonywać zamówienia przy udziale podwykonawców, należy wpisać w formularzu ofertowym „nie dotyczy” </w:t>
      </w:r>
      <w:r w:rsidR="003F1B35"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>
        <w:br/>
        <w:t>bez udziału podwykonawcy.</w:t>
      </w:r>
    </w:p>
    <w:p w14:paraId="3933FFBE" w14:textId="77777777" w:rsidR="002E661F" w:rsidRPr="002E661F" w:rsidRDefault="002E661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A1F6933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121391D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12E98CF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 xml:space="preserve">Cena </w:t>
      </w:r>
      <w:r w:rsidR="00125409" w:rsidRPr="00C65B38">
        <w:rPr>
          <w:strike/>
        </w:rPr>
        <w:t>poszczególnych pakietów</w:t>
      </w:r>
      <w:r w:rsidR="00125409" w:rsidRPr="00C65B38">
        <w:t xml:space="preserve"> </w:t>
      </w:r>
      <w:r w:rsidR="00125409" w:rsidRPr="00AE5401">
        <w:t>stanowi wynagrodzenie ryczałtowe.</w:t>
      </w:r>
      <w:r w:rsidR="00125409">
        <w:t xml:space="preserve"> </w:t>
      </w:r>
    </w:p>
    <w:p w14:paraId="24D2A43F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  <w:r w:rsidR="00934C7A">
        <w:t>Cena musi być podana cyframi oraz słownie.</w:t>
      </w:r>
    </w:p>
    <w:p w14:paraId="3FF3D2A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>
        <w:br/>
      </w:r>
      <w:r w:rsidR="005F37C3">
        <w:t xml:space="preserve">z art. 223 ust. 2 pkt 3 pzp). </w:t>
      </w:r>
    </w:p>
    <w:p w14:paraId="07E58C1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0C3B268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E228823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CDAB43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BF0434" w:rsidRDefault="005F37C3" w:rsidP="00407A0D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07A0D" w:rsidRPr="00BF0434">
        <w:rPr>
          <w:rFonts w:cs="Calibr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407A0D" w:rsidRPr="00855CF8" w14:paraId="309F5BC8" w14:textId="77777777" w:rsidTr="001A1E0D">
        <w:tc>
          <w:tcPr>
            <w:tcW w:w="565" w:type="dxa"/>
            <w:shd w:val="pct12" w:color="auto" w:fill="auto"/>
          </w:tcPr>
          <w:p w14:paraId="1CBC3019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6A74F9" w:rsidRDefault="0025776C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Znaczenie kryterium (w pkt</w:t>
            </w:r>
            <w:r w:rsidR="00407A0D" w:rsidRPr="006A74F9">
              <w:rPr>
                <w:rFonts w:cs="Calibri"/>
                <w:b/>
              </w:rPr>
              <w:t>)</w:t>
            </w:r>
          </w:p>
        </w:tc>
      </w:tr>
      <w:tr w:rsidR="00407A0D" w:rsidRPr="00855CF8" w14:paraId="02D96C56" w14:textId="77777777" w:rsidTr="001A1E0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F0434" w:rsidRDefault="00407A0D" w:rsidP="001A1E0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7777777" w:rsidR="00407A0D" w:rsidRPr="006A74F9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A74F9">
              <w:rPr>
                <w:rFonts w:cs="Calibri"/>
                <w:b/>
              </w:rPr>
              <w:t>60</w:t>
            </w:r>
          </w:p>
        </w:tc>
      </w:tr>
      <w:tr w:rsidR="00407A0D" w:rsidRPr="00855CF8" w14:paraId="138299A4" w14:textId="77777777" w:rsidTr="001A1E0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77777777" w:rsidR="00407A0D" w:rsidRPr="00BF0434" w:rsidRDefault="00407A0D" w:rsidP="001A1E0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Parametry techniczne (P)</w:t>
            </w:r>
          </w:p>
        </w:tc>
        <w:tc>
          <w:tcPr>
            <w:tcW w:w="4605" w:type="dxa"/>
            <w:shd w:val="clear" w:color="auto" w:fill="auto"/>
          </w:tcPr>
          <w:p w14:paraId="458ED4B2" w14:textId="77777777" w:rsidR="00407A0D" w:rsidRPr="006A74F9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A74F9">
              <w:rPr>
                <w:rFonts w:cs="Calibri"/>
                <w:b/>
              </w:rPr>
              <w:t>40</w:t>
            </w:r>
          </w:p>
        </w:tc>
      </w:tr>
    </w:tbl>
    <w:p w14:paraId="16300F9F" w14:textId="77777777" w:rsidR="005F37C3" w:rsidRDefault="005F37C3" w:rsidP="00D667C2">
      <w:pPr>
        <w:autoSpaceDE w:val="0"/>
        <w:autoSpaceDN w:val="0"/>
        <w:adjustRightInd w:val="0"/>
        <w:spacing w:after="120" w:line="276" w:lineRule="auto"/>
        <w:jc w:val="both"/>
      </w:pPr>
      <w:r>
        <w:t>Przy wyborze oferty Zamawiając</w:t>
      </w:r>
      <w:r w:rsidR="00482E60">
        <w:t>y będzie się kierował następującymi kryteriami:</w:t>
      </w:r>
    </w:p>
    <w:p w14:paraId="7ADAABD6" w14:textId="491C2CA9" w:rsidR="00482E60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</w:t>
      </w:r>
      <w:r w:rsidR="009323F9">
        <w:rPr>
          <w:rFonts w:eastAsiaTheme="minorHAnsi" w:cs="Calibri"/>
          <w:b/>
          <w:bCs/>
        </w:rPr>
        <w:t>6</w:t>
      </w:r>
      <w:r w:rsidR="000B7681">
        <w:rPr>
          <w:rFonts w:eastAsiaTheme="minorHAnsi" w:cs="Calibri"/>
          <w:b/>
          <w:bCs/>
        </w:rPr>
        <w:t>0 pkt</w:t>
      </w:r>
    </w:p>
    <w:p w14:paraId="27DA10A8" w14:textId="717FF22F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Punkty za kryterium </w:t>
      </w:r>
      <w:r w:rsidR="009323F9">
        <w:rPr>
          <w:rFonts w:asciiTheme="minorHAnsi" w:hAnsiTheme="minorHAnsi"/>
        </w:rPr>
        <w:t>„</w:t>
      </w:r>
      <w:r w:rsidRPr="00AE5401">
        <w:rPr>
          <w:rFonts w:asciiTheme="minorHAnsi" w:hAnsiTheme="minorHAnsi"/>
        </w:rPr>
        <w:t>Cena</w:t>
      </w:r>
      <w:r w:rsidR="009323F9">
        <w:rPr>
          <w:rFonts w:asciiTheme="minorHAnsi" w:hAnsiTheme="minorHAnsi"/>
        </w:rPr>
        <w:t>”</w:t>
      </w:r>
      <w:r w:rsidRPr="00AE5401">
        <w:rPr>
          <w:rFonts w:asciiTheme="minorHAnsi" w:hAnsiTheme="minorHAnsi"/>
        </w:rPr>
        <w:t xml:space="preserve"> zostaną obliczone według następującego wzoru:</w:t>
      </w:r>
    </w:p>
    <w:p w14:paraId="73BDD0CC" w14:textId="5C6B2641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9323F9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540025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249E63E6" w14:textId="1D34C1D3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6B6B2566" w14:textId="19B5B105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0886B8C3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336ACA50" w14:textId="6E36330C" w:rsid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407A0D"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14:paraId="3AF1AA23" w14:textId="27FAEE77" w:rsidR="000B7681" w:rsidRPr="000B7681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Parametry techniczne</w:t>
      </w:r>
      <w:r w:rsidRPr="000B7681">
        <w:rPr>
          <w:rFonts w:eastAsiaTheme="minorHAnsi" w:cs="Calibri"/>
          <w:b/>
          <w:bCs/>
        </w:rPr>
        <w:t xml:space="preserve"> </w:t>
      </w:r>
      <w:r>
        <w:rPr>
          <w:rFonts w:eastAsiaTheme="minorHAnsi" w:cs="Calibri"/>
          <w:b/>
          <w:bCs/>
        </w:rPr>
        <w:t>40 pkt</w:t>
      </w:r>
    </w:p>
    <w:p w14:paraId="0A0C12BC" w14:textId="77777777" w:rsidR="000B7681" w:rsidRPr="00825184" w:rsidRDefault="000B7681" w:rsidP="000B7681">
      <w:pPr>
        <w:spacing w:line="240" w:lineRule="auto"/>
        <w:jc w:val="both"/>
        <w:rPr>
          <w:rFonts w:cs="Calibri"/>
        </w:rPr>
      </w:pPr>
      <w:bookmarkStart w:id="1" w:name="_Hlk70324084"/>
      <w:r w:rsidRPr="00825184">
        <w:rPr>
          <w:rFonts w:cs="Calibri"/>
        </w:rPr>
        <w:t>Punkty za kryterium „Parametry techniczne” (PT) zostaną obliczone według wzoru:</w:t>
      </w:r>
    </w:p>
    <w:p w14:paraId="43FBACF3" w14:textId="77777777" w:rsidR="000B7681" w:rsidRPr="00825184" w:rsidRDefault="000B7681" w:rsidP="000B7681">
      <w:pPr>
        <w:spacing w:line="240" w:lineRule="auto"/>
        <w:jc w:val="center"/>
        <w:rPr>
          <w:rFonts w:cs="Calibri"/>
          <w:b/>
        </w:rPr>
      </w:pPr>
      <w:r w:rsidRPr="00825184">
        <w:rPr>
          <w:rFonts w:cs="Calibri"/>
          <w:b/>
        </w:rPr>
        <w:t>PT = (PTb/PTm) x 40 pkt</w:t>
      </w:r>
    </w:p>
    <w:p w14:paraId="2926B015" w14:textId="77777777" w:rsidR="000B7681" w:rsidRPr="00825184" w:rsidRDefault="000B7681" w:rsidP="000B7681">
      <w:pPr>
        <w:spacing w:line="240" w:lineRule="auto"/>
        <w:jc w:val="both"/>
        <w:rPr>
          <w:rFonts w:cs="Calibri"/>
        </w:rPr>
      </w:pPr>
      <w:r w:rsidRPr="00825184">
        <w:rPr>
          <w:rFonts w:cs="Calibri"/>
        </w:rPr>
        <w:t>gdzie,</w:t>
      </w:r>
    </w:p>
    <w:p w14:paraId="4C3DEC3F" w14:textId="77777777" w:rsidR="000B7681" w:rsidRPr="00825184" w:rsidRDefault="000B7681" w:rsidP="000B7681">
      <w:pPr>
        <w:spacing w:after="0" w:line="240" w:lineRule="auto"/>
        <w:jc w:val="both"/>
        <w:rPr>
          <w:rFonts w:cs="Calibri"/>
        </w:rPr>
      </w:pPr>
      <w:r w:rsidRPr="00825184">
        <w:rPr>
          <w:rFonts w:cs="Calibri"/>
          <w:b/>
        </w:rPr>
        <w:t xml:space="preserve">PT </w:t>
      </w:r>
      <w:r w:rsidRPr="00825184">
        <w:rPr>
          <w:rFonts w:cs="Calibri"/>
        </w:rPr>
        <w:t>– ilość punktów za kryterium „Parametry techniczne”,</w:t>
      </w:r>
    </w:p>
    <w:p w14:paraId="7E9D05D3" w14:textId="77777777" w:rsidR="000B7681" w:rsidRPr="00825184" w:rsidRDefault="000B7681" w:rsidP="000B7681">
      <w:pPr>
        <w:spacing w:after="0" w:line="240" w:lineRule="auto"/>
        <w:jc w:val="both"/>
        <w:rPr>
          <w:rFonts w:cs="Calibri"/>
        </w:rPr>
      </w:pPr>
      <w:r w:rsidRPr="00825184">
        <w:rPr>
          <w:rFonts w:cs="Calibri"/>
          <w:b/>
        </w:rPr>
        <w:t xml:space="preserve">PTb </w:t>
      </w:r>
      <w:r w:rsidRPr="00825184">
        <w:rPr>
          <w:rFonts w:cs="Calibri"/>
        </w:rPr>
        <w:t>– liczba punktów za ocenę parametrów technicznych w badanej ofercie,</w:t>
      </w:r>
    </w:p>
    <w:p w14:paraId="68F560CB" w14:textId="77777777" w:rsidR="000B7681" w:rsidRPr="00825184" w:rsidRDefault="000B7681" w:rsidP="000B7681">
      <w:pPr>
        <w:spacing w:after="0" w:line="240" w:lineRule="auto"/>
        <w:ind w:left="-5" w:right="1"/>
        <w:rPr>
          <w:rFonts w:cs="Calibri"/>
        </w:rPr>
      </w:pPr>
      <w:r w:rsidRPr="00825184">
        <w:rPr>
          <w:rFonts w:cs="Calibri"/>
          <w:b/>
        </w:rPr>
        <w:t xml:space="preserve">PTm </w:t>
      </w:r>
      <w:r w:rsidRPr="00825184">
        <w:rPr>
          <w:rFonts w:cs="Calibri"/>
        </w:rPr>
        <w:t>– maksymalna liczba punktów za ocenę parametrów technicznych spośród badanych ofert.</w:t>
      </w:r>
    </w:p>
    <w:p w14:paraId="288F3060" w14:textId="77777777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183FAA8B" w14:textId="77777777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</w:rPr>
      </w:pPr>
      <w:r w:rsidRPr="00825184">
        <w:rPr>
          <w:rFonts w:cs="Calibri"/>
          <w:b/>
        </w:rPr>
        <w:t>Parametry techniczne zostały wyszczególnione w każdym z zadań w załączniku stanowiącym Opis Przedmiotu Zamówienia</w:t>
      </w:r>
      <w:r w:rsidRPr="00825184">
        <w:rPr>
          <w:rFonts w:cs="Calibri"/>
        </w:rPr>
        <w:t>.</w:t>
      </w:r>
    </w:p>
    <w:p w14:paraId="5D7E5DE7" w14:textId="77777777" w:rsidR="000B7681" w:rsidRPr="00825184" w:rsidRDefault="000B7681" w:rsidP="000B7681">
      <w:pPr>
        <w:spacing w:after="0" w:line="240" w:lineRule="auto"/>
        <w:ind w:left="-5" w:right="1"/>
        <w:rPr>
          <w:rFonts w:cs="Calibri"/>
        </w:rPr>
      </w:pPr>
    </w:p>
    <w:p w14:paraId="53E544BA" w14:textId="604B94D5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</w:rPr>
      </w:pPr>
      <w:r w:rsidRPr="00825184">
        <w:rPr>
          <w:rFonts w:cs="Calibri"/>
        </w:rPr>
        <w:t xml:space="preserve">Maksymalna liczba punktów za ocenę parametrów technicznych </w:t>
      </w:r>
      <w:r w:rsidR="001B175A">
        <w:rPr>
          <w:rFonts w:cs="Calibri"/>
        </w:rPr>
        <w:t xml:space="preserve">w przedmiotowym postępowaniu wynosi 50 pkt, zgodnie z Opisem przedmiotu zamówienia stanowiącym </w:t>
      </w:r>
      <w:r w:rsidR="001B175A" w:rsidRPr="001B175A">
        <w:rPr>
          <w:rFonts w:cs="Calibri"/>
          <w:b/>
        </w:rPr>
        <w:t>załącznik nr 8 do SWZ.</w:t>
      </w:r>
    </w:p>
    <w:p w14:paraId="2082ABFF" w14:textId="77777777" w:rsidR="001B175A" w:rsidRDefault="001B175A" w:rsidP="00356382">
      <w:pPr>
        <w:spacing w:line="240" w:lineRule="auto"/>
        <w:jc w:val="both"/>
        <w:rPr>
          <w:rFonts w:cs="Calibri"/>
        </w:rPr>
      </w:pPr>
    </w:p>
    <w:p w14:paraId="1D8A7D4C" w14:textId="03336E7B" w:rsidR="000B7681" w:rsidRDefault="000B7681" w:rsidP="00356382">
      <w:pPr>
        <w:spacing w:line="240" w:lineRule="auto"/>
        <w:jc w:val="both"/>
        <w:rPr>
          <w:rFonts w:cs="Calibri"/>
        </w:rPr>
      </w:pPr>
      <w:r w:rsidRPr="00825184">
        <w:rPr>
          <w:rFonts w:cs="Calibri"/>
        </w:rPr>
        <w:t xml:space="preserve">W kryterium „Parametry techniczne”, oferta która spełni w najwyższym stopniu wymagania określone w punktowanych </w:t>
      </w:r>
      <w:r w:rsidRPr="00095C6A">
        <w:rPr>
          <w:rFonts w:cs="Calibri"/>
        </w:rPr>
        <w:t xml:space="preserve">pozycjach zgodnie z załącznikiem nr </w:t>
      </w:r>
      <w:r>
        <w:rPr>
          <w:rFonts w:cs="Calibri"/>
        </w:rPr>
        <w:t>8</w:t>
      </w:r>
      <w:r w:rsidRPr="00095C6A">
        <w:rPr>
          <w:rFonts w:cs="Calibri"/>
        </w:rPr>
        <w:t xml:space="preserve"> otrzyma</w:t>
      </w:r>
      <w:r w:rsidRPr="00825184">
        <w:rPr>
          <w:rFonts w:cs="Calibri"/>
        </w:rPr>
        <w:t xml:space="preserve"> 40 punktów</w:t>
      </w:r>
      <w:r>
        <w:rPr>
          <w:rFonts w:cs="Calibri"/>
        </w:rPr>
        <w:t>,</w:t>
      </w:r>
      <w:r w:rsidRPr="00825184">
        <w:rPr>
          <w:rFonts w:cs="Calibri"/>
        </w:rPr>
        <w:t xml:space="preserve"> a pozostałe oferty</w:t>
      </w:r>
      <w:r>
        <w:rPr>
          <w:rFonts w:cs="Calibri"/>
        </w:rPr>
        <w:br/>
      </w:r>
      <w:r w:rsidRPr="00825184">
        <w:rPr>
          <w:rFonts w:cs="Calibri"/>
        </w:rPr>
        <w:t>po matematycznym przeliczeniu odpowiednio mniej. Wynik powyższego działania zostanie zaokrąglony do dwóch miejsc po przecinku.</w:t>
      </w:r>
    </w:p>
    <w:p w14:paraId="0312C61B" w14:textId="03B89731" w:rsidR="000B7681" w:rsidRPr="00825184" w:rsidRDefault="000B7681" w:rsidP="000B768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5184">
        <w:rPr>
          <w:rFonts w:cs="Calibri"/>
        </w:rPr>
        <w:t>Za najkorzystniejszą ofertę w danej części zamówienia zostanie uznana oferta, która otrzyma największą ilość punktów</w:t>
      </w:r>
      <w:r w:rsidRPr="00825184">
        <w:t xml:space="preserve"> </w:t>
      </w:r>
      <w:r w:rsidRPr="00825184">
        <w:rPr>
          <w:rFonts w:cs="Calibri"/>
        </w:rPr>
        <w:t>na podstawie wzoru:</w:t>
      </w:r>
    </w:p>
    <w:p w14:paraId="0246AD4A" w14:textId="77777777" w:rsidR="000B7681" w:rsidRPr="00825184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25184">
        <w:rPr>
          <w:rFonts w:cs="Calibri"/>
          <w:b/>
          <w:bCs/>
        </w:rPr>
        <w:t>Przyznana ilość punktów = C + PT</w:t>
      </w:r>
    </w:p>
    <w:bookmarkEnd w:id="1"/>
    <w:p w14:paraId="0AABD2B6" w14:textId="25CF9E6C" w:rsidR="000B7681" w:rsidRDefault="000B7681" w:rsidP="0025776C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5184">
        <w:rPr>
          <w:rFonts w:cs="Calibri"/>
        </w:rPr>
        <w:t>Za najkorzystniejszą zostanie uznana oferta z największą liczbą punktów, tj. przedstawiająca najkorzystniejszy bilans kryteriów oceny of</w:t>
      </w:r>
      <w:r>
        <w:rPr>
          <w:rFonts w:cs="Calibri"/>
        </w:rPr>
        <w:t>ert, o których mowa w pkt 18.1. SWZ.</w:t>
      </w:r>
    </w:p>
    <w:p w14:paraId="22E01EC1" w14:textId="7CBF4CCE" w:rsidR="005F37C3" w:rsidRPr="000B7681" w:rsidRDefault="005F37C3" w:rsidP="000B7681">
      <w:pPr>
        <w:spacing w:line="240" w:lineRule="auto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14:paraId="06A241CC" w14:textId="77777777" w:rsidR="000B768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4208F3">
        <w:t xml:space="preserve"> </w:t>
      </w:r>
      <w:r w:rsidR="00851579" w:rsidRPr="00851579">
        <w:t xml:space="preserve">(cena + </w:t>
      </w:r>
      <w:r w:rsidR="000B7681">
        <w:t>parametry techniczne</w:t>
      </w:r>
      <w:r w:rsidR="00851579" w:rsidRPr="00851579">
        <w:t>), tj. przedstawiająca najkorzystniejszy bilans kryteriów oceny ofert przedstawionych w 1</w:t>
      </w:r>
      <w:r w:rsidR="00851579">
        <w:t>8</w:t>
      </w:r>
      <w:r w:rsidR="000B7681">
        <w:t>.1.</w:t>
      </w:r>
    </w:p>
    <w:p w14:paraId="633E6967" w14:textId="4DC325E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6C5E7958" w14:textId="1D53D983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7F621881" w14:textId="1B143635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715310A9" w14:textId="7D073738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1AB310B8" w14:textId="0528853F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 xml:space="preserve">́rej mowa w </w:t>
      </w:r>
      <w:r w:rsidR="000B7681">
        <w:t>18.9,</w:t>
      </w:r>
      <w:r w:rsidR="005F37C3">
        <w:t xml:space="preserve"> oferta podlega odrzuceniu, </w:t>
      </w:r>
      <w:r w:rsidR="000B7681">
        <w:br/>
      </w:r>
      <w:r w:rsidR="005F37C3">
        <w:t>a Zamawiający zwraca się o wyrażenie takiej zgody do kolejnego Wykonawcy, którego oferta została najwyżej oceniona, chyba że zachodzą przesłanki do unieważnienia postępowania.</w:t>
      </w:r>
    </w:p>
    <w:p w14:paraId="629516EB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C9D186E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>art. 577 pzp,</w:t>
      </w:r>
      <w:r w:rsidR="009A1141">
        <w:t xml:space="preserve"> w terminie nie krótszym niż 10</w:t>
      </w:r>
      <w:r>
        <w:t xml:space="preserve"> dni od dnia przesłania zawiadomienia o wyborze najkorzystniejszej oferty, jeżeli zawiadomienie to zostało przesłane przy użyciu środków komunikacji elektronicznej, albo 1</w:t>
      </w:r>
      <w:r w:rsidR="000733A7">
        <w:t>5</w:t>
      </w:r>
      <w:r>
        <w:t xml:space="preserve"> dni, jeżeli </w:t>
      </w:r>
      <w:r w:rsidR="009A1141">
        <w:t>zostało przesłane w inny sposób (art. 264 ustawy).</w:t>
      </w:r>
      <w:r>
        <w:t xml:space="preserve"> </w:t>
      </w:r>
    </w:p>
    <w:p w14:paraId="147F3CD4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704D40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5EB4052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14:paraId="3B374FDD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53FF93D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0ED6C4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3DE500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473487"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 w:rsidR="006C1510">
        <w:t>w wyniku naruszenia przez Zamawiającego przepisów pzp</w:t>
      </w:r>
      <w:r w:rsidR="005C5D86">
        <w:t xml:space="preserve"> (Dział IX Środki ochrony prawnej) pzp</w:t>
      </w:r>
      <w:r w:rsidR="006C1510">
        <w:t xml:space="preserve">. </w:t>
      </w:r>
    </w:p>
    <w:p w14:paraId="78834010" w14:textId="77777777" w:rsidR="006C1510" w:rsidRDefault="00473487" w:rsidP="00D667C2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przysługuje na: </w:t>
      </w:r>
    </w:p>
    <w:p w14:paraId="5E3D99BA" w14:textId="77777777" w:rsidR="006C1510" w:rsidRDefault="00A33BCB" w:rsidP="00D667C2">
      <w:pPr>
        <w:spacing w:after="12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7C3F4E68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23AFE3D2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wnosi się do Prezesa Krajowej Izby Odwoławczej w formie pisemnej albo w formie elektronicznej albo w postaci elektronicznej opatrzone podpisem zaufanym. </w:t>
      </w:r>
    </w:p>
    <w:p w14:paraId="2DC3A277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 w:rsidR="006C1510">
        <w:t xml:space="preserve">za pośrednictwem Prezesa Krajowej Izby Odwoławczej. </w:t>
      </w:r>
    </w:p>
    <w:p w14:paraId="453C8B64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>Szczegółowe informacje dotyczące środków ochrony prawnej określone są w Dziale IX „Środki ochrony prawnej” pzp.</w:t>
      </w:r>
    </w:p>
    <w:p w14:paraId="3EBC6534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D34680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3385AF3D" w14:textId="77777777" w:rsidR="00CD5029" w:rsidRDefault="00CD5029" w:rsidP="00714F6D">
      <w:pPr>
        <w:spacing w:after="0"/>
        <w:jc w:val="both"/>
      </w:pPr>
      <w:r>
        <w:t>Zamawiający informuje, że w przypadku:</w:t>
      </w:r>
    </w:p>
    <w:p w14:paraId="2AA088D5" w14:textId="77777777" w:rsidR="00CD5029" w:rsidRDefault="00CD5029" w:rsidP="00714F6D">
      <w:pPr>
        <w:spacing w:after="0"/>
        <w:jc w:val="both"/>
      </w:pPr>
      <w:r>
        <w:t>- osób fizycznych,</w:t>
      </w:r>
    </w:p>
    <w:p w14:paraId="6BAE2CC4" w14:textId="77777777" w:rsidR="00CD5029" w:rsidRDefault="00CD5029" w:rsidP="00714F6D">
      <w:pPr>
        <w:spacing w:after="0"/>
        <w:jc w:val="both"/>
      </w:pPr>
      <w:r>
        <w:t>- osób fizycznych, prowadzących jednoosobową działalność gospodarczą,</w:t>
      </w:r>
    </w:p>
    <w:p w14:paraId="13F84FCB" w14:textId="77777777" w:rsidR="00CD5029" w:rsidRDefault="00CD5029" w:rsidP="00714F6D">
      <w:pPr>
        <w:spacing w:after="0"/>
        <w:jc w:val="both"/>
      </w:pPr>
      <w:r>
        <w:t>- pełnomocnika Wykonawcy będącego osobą fizyczną,</w:t>
      </w:r>
    </w:p>
    <w:p w14:paraId="3819EA80" w14:textId="77777777" w:rsidR="00CD5029" w:rsidRDefault="00CD5029" w:rsidP="00714F6D">
      <w:pPr>
        <w:spacing w:after="0"/>
        <w:jc w:val="both"/>
      </w:pPr>
      <w:r>
        <w:t>- członka organu zarządzającego Wykonawcy, będącego osobą fizyczną,</w:t>
      </w:r>
    </w:p>
    <w:p w14:paraId="5545FC7A" w14:textId="17053F5D" w:rsidR="00CD5029" w:rsidRDefault="00CD5029" w:rsidP="00CD5029">
      <w:pPr>
        <w:jc w:val="both"/>
      </w:pPr>
      <w:r>
        <w:t>-</w:t>
      </w:r>
      <w:r w:rsidR="00714F6D">
        <w:t xml:space="preserve"> </w:t>
      </w:r>
      <w:r>
        <w:t>osoby fizycznej skierowanej do przygotowania i przeprowadzenia postępowania o udz</w:t>
      </w:r>
      <w:r w:rsidR="004801B0">
        <w:t>ielenie zamówienia publicznego,</w:t>
      </w:r>
      <w:r w:rsidR="00714F6D">
        <w:t xml:space="preserve"> </w:t>
      </w:r>
    </w:p>
    <w:p w14:paraId="387B6069" w14:textId="5C884409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02E71C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0D01D76" w14:textId="77777777" w:rsidR="004801B0" w:rsidRDefault="004801B0" w:rsidP="004801B0">
      <w:pPr>
        <w:jc w:val="both"/>
      </w:pPr>
      <w:r>
        <w:t>Zamawiający informuję, że:</w:t>
      </w:r>
    </w:p>
    <w:p w14:paraId="0B07120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294A9DE9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E98BC8D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4863CF3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1CDCF3F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6387513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73BA2FF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48CE3673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2A0BA408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1BA0A0F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C4C30AB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4266E9BD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0121D28D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09972B5D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Default="004801B0" w:rsidP="004801B0">
      <w:pPr>
        <w:ind w:left="360"/>
        <w:jc w:val="both"/>
      </w:pPr>
    </w:p>
    <w:p w14:paraId="222EC171" w14:textId="77777777" w:rsidR="004801B0" w:rsidRDefault="004801B0" w:rsidP="004801B0">
      <w:pPr>
        <w:ind w:left="360"/>
        <w:jc w:val="both"/>
      </w:pPr>
      <w:r>
        <w:t>______________________</w:t>
      </w:r>
    </w:p>
    <w:p w14:paraId="76BFDB82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39550F6A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35AAE4E8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77777777" w:rsidR="00ED102C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przewiduje wymagań w zakresie zatrudnienia na podstawie stosunku pracy, </w:t>
      </w:r>
      <w:r>
        <w:br/>
        <w:t>w okolicznościach, o których mowa w art. 95 ustawy;</w:t>
      </w:r>
    </w:p>
    <w:p w14:paraId="75222EA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</w:t>
      </w:r>
      <w:r w:rsidR="00ED102C">
        <w:t xml:space="preserve"> przewiduje</w:t>
      </w:r>
      <w:r>
        <w:t xml:space="preserve"> wymagań w zakresie zatrudnienia osób, o</w:t>
      </w:r>
      <w:r w:rsidR="00ED102C">
        <w:t xml:space="preserve"> których mowa </w:t>
      </w:r>
      <w:r w:rsidR="00ED102C">
        <w:br/>
        <w:t xml:space="preserve">w art. 96 ust. 2 </w:t>
      </w:r>
      <w:r>
        <w:t>pkt 2 ustawy;</w:t>
      </w:r>
    </w:p>
    <w:p w14:paraId="3B6431CE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</w:t>
      </w:r>
      <w:r w:rsidR="00ED102C">
        <w:t>przewiduje</w:t>
      </w:r>
      <w:r>
        <w:t xml:space="preserve"> wymagań w zakresie możliwości ubiegania się o udzielenie zamówienia wyłącznie przez </w:t>
      </w:r>
      <w:r w:rsidR="00D863E1">
        <w:t>W</w:t>
      </w:r>
      <w:r>
        <w:t>ykonawców, o których mowa w art. 94;</w:t>
      </w:r>
    </w:p>
    <w:p w14:paraId="0DD778CA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zwrotu kosztów udziału w postępowaniu</w:t>
      </w:r>
      <w:r w:rsidR="00934C7A">
        <w:t>. Wykonawca ponosi wszystkie koszty związane z przygotowaniem i złożeniem oferty</w:t>
      </w:r>
      <w:r>
        <w:t>;</w:t>
      </w:r>
    </w:p>
    <w:p w14:paraId="1E41A5C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zawierania umowy ramowej;</w:t>
      </w:r>
    </w:p>
    <w:p w14:paraId="57811583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wyboru najkorzystniejszej oferty z zastosowaniem aukcji elektronicznej;</w:t>
      </w:r>
    </w:p>
    <w:p w14:paraId="0E231D1B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możliwoś</w:t>
      </w:r>
      <w:r w:rsidR="00D863E1">
        <w:t>ci</w:t>
      </w:r>
      <w:r>
        <w:t xml:space="preserve"> złożenia ofert w postaci katalogów elektronicznych </w:t>
      </w:r>
      <w:r>
        <w:br/>
        <w:t>lub dołączenia katalogów elektronicznych do oferty;</w:t>
      </w:r>
    </w:p>
    <w:p w14:paraId="74205877" w14:textId="77777777" w:rsidR="00186A63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stawia wymagań dotyczących zabezpieczenia należytego wykonania umowy</w:t>
      </w:r>
      <w:r w:rsidR="000D284F">
        <w:t>.</w:t>
      </w:r>
    </w:p>
    <w:p w14:paraId="17EECE43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F6B8BB9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77777777" w:rsidR="000B7681" w:rsidRDefault="003F3129" w:rsidP="000B768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D3468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B7681">
        <w:t xml:space="preserve">Integralną częścią niniejszej SWZ stanowią następujące załączniki: </w:t>
      </w:r>
    </w:p>
    <w:p w14:paraId="3733A182" w14:textId="77777777" w:rsidR="000B7681" w:rsidRDefault="000B7681" w:rsidP="000B7681">
      <w:pPr>
        <w:spacing w:line="276" w:lineRule="auto"/>
        <w:jc w:val="both"/>
      </w:pPr>
      <w:r>
        <w:t xml:space="preserve">Załącznik Nr 1 do SWZ – Formularz ofertowy </w:t>
      </w:r>
    </w:p>
    <w:p w14:paraId="52C7BF68" w14:textId="77777777" w:rsidR="000B7681" w:rsidRDefault="000B7681" w:rsidP="000B7681">
      <w:pPr>
        <w:spacing w:line="276" w:lineRule="auto"/>
        <w:jc w:val="both"/>
      </w:pPr>
      <w:r>
        <w:t>Załącznik Nr 2 do SWZ – Projektowane postanowienia umowy w sprawie zamówienia publicznego</w:t>
      </w:r>
    </w:p>
    <w:p w14:paraId="5406E80D" w14:textId="77777777" w:rsidR="000B7681" w:rsidRDefault="000B7681" w:rsidP="000B7681">
      <w:pPr>
        <w:spacing w:line="276" w:lineRule="auto"/>
        <w:jc w:val="both"/>
      </w:pPr>
      <w:r>
        <w:t>Załącznik Nr 2.1 do SWZ – Gwarancja</w:t>
      </w:r>
    </w:p>
    <w:p w14:paraId="28010A73" w14:textId="77777777" w:rsidR="000B7681" w:rsidRDefault="000B7681" w:rsidP="000B7681">
      <w:pPr>
        <w:spacing w:line="276" w:lineRule="auto"/>
        <w:jc w:val="both"/>
      </w:pPr>
      <w:r>
        <w:t>Załącznik Nr 2.2 do SWZ – Protokół zdawczo-odbiorczy</w:t>
      </w:r>
    </w:p>
    <w:p w14:paraId="4AFA9B71" w14:textId="77777777" w:rsidR="000B7681" w:rsidRDefault="000B7681" w:rsidP="000B7681">
      <w:pPr>
        <w:spacing w:line="276" w:lineRule="auto"/>
        <w:jc w:val="both"/>
      </w:pPr>
      <w:r>
        <w:t>Załącznik Nr 3 do SWZ – Jednolity Europejski Dokument Zamówienia</w:t>
      </w:r>
    </w:p>
    <w:p w14:paraId="6BB4D709" w14:textId="5F17A525" w:rsidR="000B7681" w:rsidRDefault="000B7681" w:rsidP="000B7681">
      <w:pPr>
        <w:spacing w:line="276" w:lineRule="auto"/>
        <w:jc w:val="both"/>
      </w:pPr>
      <w:r>
        <w:t xml:space="preserve">Załącznik Nr 4 do SWZ – Oświadczenie Wykonawcy – potwierdzenie informacji zawartych </w:t>
      </w:r>
      <w:r w:rsidR="003727DB">
        <w:br/>
      </w:r>
      <w:r>
        <w:t>w oświadczeniu, o którym mowa w art. 125 ust 1 ustawy</w:t>
      </w:r>
    </w:p>
    <w:p w14:paraId="13AA7573" w14:textId="77777777" w:rsidR="000B7681" w:rsidRDefault="000B7681" w:rsidP="000B7681">
      <w:pPr>
        <w:spacing w:line="276" w:lineRule="auto"/>
        <w:jc w:val="both"/>
      </w:pPr>
      <w:r>
        <w:t>Załącznik Nr 5 do SWZ – Oświadczenie o braku przynależności/przynależności do grupy kapitałowej</w:t>
      </w:r>
    </w:p>
    <w:p w14:paraId="0D6875F3" w14:textId="77777777" w:rsidR="000B7681" w:rsidRDefault="000B7681" w:rsidP="000B7681">
      <w:pPr>
        <w:spacing w:line="276" w:lineRule="auto"/>
        <w:jc w:val="both"/>
      </w:pPr>
      <w: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Default="000B7681" w:rsidP="000B7681">
      <w:pPr>
        <w:spacing w:line="276" w:lineRule="auto"/>
        <w:jc w:val="both"/>
      </w:pPr>
      <w:r>
        <w:t>Załącznik Nr 7 do SWZ – Formularz asortymentowo-cenowy</w:t>
      </w:r>
    </w:p>
    <w:p w14:paraId="00E320B4" w14:textId="3A1B1C9A" w:rsidR="005F37C3" w:rsidRPr="00FF6259" w:rsidRDefault="000B7681" w:rsidP="000B7681">
      <w:pPr>
        <w:spacing w:line="276" w:lineRule="auto"/>
        <w:jc w:val="both"/>
        <w:rPr>
          <w:color w:val="FF0000"/>
        </w:rPr>
      </w:pPr>
      <w:r>
        <w:t>Załącznik Nr 8 do SWZ – Opis Przedmiotu Zamówienia (OPZ)</w:t>
      </w:r>
    </w:p>
    <w:sectPr w:rsidR="005F37C3" w:rsidRPr="00F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8F59" w14:textId="77777777" w:rsidR="006C2976" w:rsidRDefault="006C2976" w:rsidP="0064680F">
      <w:pPr>
        <w:spacing w:after="0" w:line="240" w:lineRule="auto"/>
      </w:pPr>
      <w:r>
        <w:separator/>
      </w:r>
    </w:p>
  </w:endnote>
  <w:endnote w:type="continuationSeparator" w:id="0">
    <w:p w14:paraId="3CAD02E5" w14:textId="77777777" w:rsidR="006C2976" w:rsidRDefault="006C29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5676" w14:textId="77777777" w:rsidR="006C2976" w:rsidRDefault="006C2976" w:rsidP="0064680F">
      <w:pPr>
        <w:spacing w:after="0" w:line="240" w:lineRule="auto"/>
      </w:pPr>
      <w:r>
        <w:separator/>
      </w:r>
    </w:p>
  </w:footnote>
  <w:footnote w:type="continuationSeparator" w:id="0">
    <w:p w14:paraId="3AE1CAAF" w14:textId="77777777" w:rsidR="006C2976" w:rsidRDefault="006C297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82744"/>
    <w:multiLevelType w:val="hybridMultilevel"/>
    <w:tmpl w:val="2612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94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4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0E34"/>
    <w:rsid w:val="00037012"/>
    <w:rsid w:val="000403CC"/>
    <w:rsid w:val="0004471E"/>
    <w:rsid w:val="00053CBE"/>
    <w:rsid w:val="00061495"/>
    <w:rsid w:val="00065C2F"/>
    <w:rsid w:val="000733A7"/>
    <w:rsid w:val="000764A1"/>
    <w:rsid w:val="00091631"/>
    <w:rsid w:val="000B7681"/>
    <w:rsid w:val="000C2A07"/>
    <w:rsid w:val="000C433D"/>
    <w:rsid w:val="000D284F"/>
    <w:rsid w:val="000F35B2"/>
    <w:rsid w:val="000F6120"/>
    <w:rsid w:val="00125409"/>
    <w:rsid w:val="00133552"/>
    <w:rsid w:val="001569EA"/>
    <w:rsid w:val="001677A3"/>
    <w:rsid w:val="0017158B"/>
    <w:rsid w:val="00174568"/>
    <w:rsid w:val="00186024"/>
    <w:rsid w:val="00186A63"/>
    <w:rsid w:val="001A48A5"/>
    <w:rsid w:val="001B175A"/>
    <w:rsid w:val="001C402C"/>
    <w:rsid w:val="001C726A"/>
    <w:rsid w:val="0022263F"/>
    <w:rsid w:val="002447B6"/>
    <w:rsid w:val="0025776C"/>
    <w:rsid w:val="00264E08"/>
    <w:rsid w:val="002666D0"/>
    <w:rsid w:val="00275CBB"/>
    <w:rsid w:val="002E661F"/>
    <w:rsid w:val="003002C1"/>
    <w:rsid w:val="0030775D"/>
    <w:rsid w:val="00327E22"/>
    <w:rsid w:val="00332935"/>
    <w:rsid w:val="00333B90"/>
    <w:rsid w:val="00334725"/>
    <w:rsid w:val="00343662"/>
    <w:rsid w:val="00353827"/>
    <w:rsid w:val="00356382"/>
    <w:rsid w:val="00366F9E"/>
    <w:rsid w:val="00371663"/>
    <w:rsid w:val="003727DB"/>
    <w:rsid w:val="00391648"/>
    <w:rsid w:val="00393B50"/>
    <w:rsid w:val="003A1B40"/>
    <w:rsid w:val="003B3F14"/>
    <w:rsid w:val="003C2D40"/>
    <w:rsid w:val="003C2FD1"/>
    <w:rsid w:val="003F1B35"/>
    <w:rsid w:val="003F3129"/>
    <w:rsid w:val="003F7D16"/>
    <w:rsid w:val="00407A0D"/>
    <w:rsid w:val="004208F3"/>
    <w:rsid w:val="00436875"/>
    <w:rsid w:val="0044650A"/>
    <w:rsid w:val="004658DE"/>
    <w:rsid w:val="00466A38"/>
    <w:rsid w:val="00470DA4"/>
    <w:rsid w:val="00473487"/>
    <w:rsid w:val="00473D06"/>
    <w:rsid w:val="004801B0"/>
    <w:rsid w:val="00482E60"/>
    <w:rsid w:val="0049215E"/>
    <w:rsid w:val="0049576F"/>
    <w:rsid w:val="004A191B"/>
    <w:rsid w:val="004A797C"/>
    <w:rsid w:val="004B0175"/>
    <w:rsid w:val="004E5D29"/>
    <w:rsid w:val="005102F9"/>
    <w:rsid w:val="0051704D"/>
    <w:rsid w:val="005278CF"/>
    <w:rsid w:val="00542F9B"/>
    <w:rsid w:val="00570EA6"/>
    <w:rsid w:val="005746D2"/>
    <w:rsid w:val="005802AE"/>
    <w:rsid w:val="00594C27"/>
    <w:rsid w:val="0059531E"/>
    <w:rsid w:val="005A1D5E"/>
    <w:rsid w:val="005B129F"/>
    <w:rsid w:val="005C1B18"/>
    <w:rsid w:val="005C5D86"/>
    <w:rsid w:val="005E504C"/>
    <w:rsid w:val="005F37C3"/>
    <w:rsid w:val="00620706"/>
    <w:rsid w:val="00621AE8"/>
    <w:rsid w:val="00636024"/>
    <w:rsid w:val="0064680F"/>
    <w:rsid w:val="00681BA2"/>
    <w:rsid w:val="00683850"/>
    <w:rsid w:val="00690F8F"/>
    <w:rsid w:val="006A5E66"/>
    <w:rsid w:val="006C1510"/>
    <w:rsid w:val="006C2976"/>
    <w:rsid w:val="006C435F"/>
    <w:rsid w:val="006C6F41"/>
    <w:rsid w:val="006F12EA"/>
    <w:rsid w:val="006F5EDA"/>
    <w:rsid w:val="006F69D4"/>
    <w:rsid w:val="007042A1"/>
    <w:rsid w:val="00714F6D"/>
    <w:rsid w:val="00716AB7"/>
    <w:rsid w:val="0071714D"/>
    <w:rsid w:val="0072156B"/>
    <w:rsid w:val="00727D71"/>
    <w:rsid w:val="00734175"/>
    <w:rsid w:val="00750E7F"/>
    <w:rsid w:val="007C2537"/>
    <w:rsid w:val="007C2C9A"/>
    <w:rsid w:val="007D369A"/>
    <w:rsid w:val="007D4ABC"/>
    <w:rsid w:val="007E053D"/>
    <w:rsid w:val="007F31FA"/>
    <w:rsid w:val="0080658E"/>
    <w:rsid w:val="0081141F"/>
    <w:rsid w:val="008177F7"/>
    <w:rsid w:val="008244A9"/>
    <w:rsid w:val="00851579"/>
    <w:rsid w:val="00871B9A"/>
    <w:rsid w:val="008B181A"/>
    <w:rsid w:val="008B4D0B"/>
    <w:rsid w:val="008C1611"/>
    <w:rsid w:val="008C6445"/>
    <w:rsid w:val="008D1677"/>
    <w:rsid w:val="008E1EAD"/>
    <w:rsid w:val="009161F6"/>
    <w:rsid w:val="00917C70"/>
    <w:rsid w:val="009323F9"/>
    <w:rsid w:val="00934C7A"/>
    <w:rsid w:val="00954CF2"/>
    <w:rsid w:val="00973DB4"/>
    <w:rsid w:val="00974821"/>
    <w:rsid w:val="0099362C"/>
    <w:rsid w:val="00994C51"/>
    <w:rsid w:val="009A1141"/>
    <w:rsid w:val="009A2386"/>
    <w:rsid w:val="009B389D"/>
    <w:rsid w:val="009C225A"/>
    <w:rsid w:val="009C365F"/>
    <w:rsid w:val="009D3FED"/>
    <w:rsid w:val="00A22BF4"/>
    <w:rsid w:val="00A3169A"/>
    <w:rsid w:val="00A33BCB"/>
    <w:rsid w:val="00A3532F"/>
    <w:rsid w:val="00A43BB1"/>
    <w:rsid w:val="00A47556"/>
    <w:rsid w:val="00A63201"/>
    <w:rsid w:val="00A80D42"/>
    <w:rsid w:val="00AB0F62"/>
    <w:rsid w:val="00AB70A0"/>
    <w:rsid w:val="00AE5401"/>
    <w:rsid w:val="00B040CA"/>
    <w:rsid w:val="00B15884"/>
    <w:rsid w:val="00B34B17"/>
    <w:rsid w:val="00B4011C"/>
    <w:rsid w:val="00B55B89"/>
    <w:rsid w:val="00B97F26"/>
    <w:rsid w:val="00BA7E48"/>
    <w:rsid w:val="00BB2B1E"/>
    <w:rsid w:val="00BB44BF"/>
    <w:rsid w:val="00BB4F9B"/>
    <w:rsid w:val="00BE168E"/>
    <w:rsid w:val="00BE5C53"/>
    <w:rsid w:val="00BF7D68"/>
    <w:rsid w:val="00C0012C"/>
    <w:rsid w:val="00C06538"/>
    <w:rsid w:val="00C06679"/>
    <w:rsid w:val="00C401AF"/>
    <w:rsid w:val="00C455A7"/>
    <w:rsid w:val="00C50770"/>
    <w:rsid w:val="00C5771A"/>
    <w:rsid w:val="00C65B38"/>
    <w:rsid w:val="00C6701A"/>
    <w:rsid w:val="00C73B5E"/>
    <w:rsid w:val="00C8543B"/>
    <w:rsid w:val="00C903DC"/>
    <w:rsid w:val="00C9337A"/>
    <w:rsid w:val="00CD5029"/>
    <w:rsid w:val="00D07115"/>
    <w:rsid w:val="00D34680"/>
    <w:rsid w:val="00D5400D"/>
    <w:rsid w:val="00D607D4"/>
    <w:rsid w:val="00D661E0"/>
    <w:rsid w:val="00D667C2"/>
    <w:rsid w:val="00D82B89"/>
    <w:rsid w:val="00D863E1"/>
    <w:rsid w:val="00DA0C50"/>
    <w:rsid w:val="00DA1239"/>
    <w:rsid w:val="00DA18A0"/>
    <w:rsid w:val="00DB23AD"/>
    <w:rsid w:val="00DE2D20"/>
    <w:rsid w:val="00DE6B19"/>
    <w:rsid w:val="00E24E79"/>
    <w:rsid w:val="00E30299"/>
    <w:rsid w:val="00E31DEA"/>
    <w:rsid w:val="00E44D7C"/>
    <w:rsid w:val="00E458EE"/>
    <w:rsid w:val="00E50D84"/>
    <w:rsid w:val="00E55418"/>
    <w:rsid w:val="00E63282"/>
    <w:rsid w:val="00E64715"/>
    <w:rsid w:val="00E66825"/>
    <w:rsid w:val="00E75F9B"/>
    <w:rsid w:val="00E81D2C"/>
    <w:rsid w:val="00ED102C"/>
    <w:rsid w:val="00F02DEC"/>
    <w:rsid w:val="00F25F17"/>
    <w:rsid w:val="00F37EE8"/>
    <w:rsid w:val="00F51420"/>
    <w:rsid w:val="00F6187F"/>
    <w:rsid w:val="00F646C8"/>
    <w:rsid w:val="00F74315"/>
    <w:rsid w:val="00F9043E"/>
    <w:rsid w:val="00FD61E9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33DA-575C-466D-B41E-791417DE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19</Pages>
  <Words>7246</Words>
  <Characters>43476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59</cp:revision>
  <cp:lastPrinted>2021-05-19T06:03:00Z</cp:lastPrinted>
  <dcterms:created xsi:type="dcterms:W3CDTF">2021-03-17T10:10:00Z</dcterms:created>
  <dcterms:modified xsi:type="dcterms:W3CDTF">2021-06-16T08:16:00Z</dcterms:modified>
</cp:coreProperties>
</file>