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7A6149">
        <w:rPr>
          <w:rFonts w:ascii="Arial" w:hAnsi="Arial" w:cs="Arial"/>
          <w:sz w:val="18"/>
          <w:szCs w:val="20"/>
        </w:rPr>
        <w:t xml:space="preserve">2019 r., </w:t>
      </w:r>
      <w:r w:rsidR="00F30672">
        <w:rPr>
          <w:rFonts w:ascii="Arial" w:hAnsi="Arial" w:cs="Arial"/>
          <w:sz w:val="18"/>
          <w:szCs w:val="20"/>
        </w:rPr>
        <w:t>poz. 2019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bookmarkStart w:id="0" w:name="_GoBack"/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bookmarkEnd w:id="0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FC7C-7AD0-410C-B308-1DC91EE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11</cp:revision>
  <cp:lastPrinted>2017-08-01T12:39:00Z</cp:lastPrinted>
  <dcterms:created xsi:type="dcterms:W3CDTF">2021-01-19T11:40:00Z</dcterms:created>
  <dcterms:modified xsi:type="dcterms:W3CDTF">2021-03-10T13:46:00Z</dcterms:modified>
</cp:coreProperties>
</file>