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0447FA87" w:rsidR="006C6F41" w:rsidRPr="000403CC" w:rsidRDefault="000403CC" w:rsidP="000403CC">
      <w:pPr>
        <w:spacing w:line="276" w:lineRule="auto"/>
        <w:jc w:val="center"/>
        <w:rPr>
          <w:b/>
          <w:sz w:val="24"/>
        </w:rPr>
      </w:pPr>
      <w:r w:rsidRPr="000403CC">
        <w:rPr>
          <w:b/>
          <w:sz w:val="24"/>
        </w:rPr>
        <w:t>„</w:t>
      </w:r>
      <w:r w:rsidR="005E504C" w:rsidRPr="005E504C">
        <w:rPr>
          <w:b/>
          <w:sz w:val="24"/>
        </w:rPr>
        <w:t>Dostawa materiałów i sprzętów medycznych jednorazowego użytku</w:t>
      </w:r>
      <w:r w:rsidR="001D134F">
        <w:rPr>
          <w:b/>
          <w:sz w:val="24"/>
        </w:rPr>
        <w:t xml:space="preserve"> - uzupełnienie</w:t>
      </w:r>
      <w:r w:rsidRPr="000403CC">
        <w:rPr>
          <w:b/>
          <w:sz w:val="24"/>
        </w:rPr>
        <w:t>”</w:t>
      </w:r>
    </w:p>
    <w:p w14:paraId="2A9BF6D2" w14:textId="77777777" w:rsidR="00E30299" w:rsidRDefault="00E30299" w:rsidP="00683850">
      <w:pPr>
        <w:spacing w:line="276" w:lineRule="auto"/>
      </w:pPr>
    </w:p>
    <w:p w14:paraId="3C589800" w14:textId="77777777" w:rsidR="00E30299" w:rsidRDefault="00E30299" w:rsidP="00683850">
      <w:pPr>
        <w:spacing w:line="276" w:lineRule="auto"/>
      </w:pPr>
    </w:p>
    <w:p w14:paraId="2DCC1D4E" w14:textId="6496D3EF" w:rsidR="00E30299" w:rsidRPr="00AC07F3" w:rsidRDefault="00E30299" w:rsidP="00683850">
      <w:pPr>
        <w:spacing w:line="276" w:lineRule="auto"/>
        <w:jc w:val="center"/>
      </w:pPr>
      <w:r w:rsidRPr="00E31DEA">
        <w:t xml:space="preserve">(Znak </w:t>
      </w:r>
      <w:r w:rsidRPr="005009EE">
        <w:t>postępowania: ZP/</w:t>
      </w:r>
      <w:r w:rsidR="00E31DEA" w:rsidRPr="005009EE">
        <w:t>1</w:t>
      </w:r>
      <w:r w:rsidR="005009EE" w:rsidRPr="005009EE">
        <w:t>9</w:t>
      </w:r>
      <w:r w:rsidRPr="005009EE">
        <w:t>/202</w:t>
      </w:r>
      <w:r w:rsidR="00A33BCB" w:rsidRPr="005009EE">
        <w:t>1</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4273D044" w:rsidR="0049576F" w:rsidRDefault="00E30299" w:rsidP="00683850">
      <w:pPr>
        <w:spacing w:line="276" w:lineRule="auto"/>
        <w:jc w:val="center"/>
      </w:pPr>
      <w:r w:rsidRPr="006555F3">
        <w:t xml:space="preserve">Łapy, dnia </w:t>
      </w:r>
      <w:r w:rsidR="006555F3" w:rsidRPr="006555F3">
        <w:t>23</w:t>
      </w:r>
      <w:r w:rsidR="000F6120" w:rsidRPr="006555F3">
        <w:t>.0</w:t>
      </w:r>
      <w:r w:rsidR="005009EE" w:rsidRPr="006555F3">
        <w:t>7</w:t>
      </w:r>
      <w:r w:rsidRPr="006555F3">
        <w:t>.202</w:t>
      </w:r>
      <w:r w:rsidR="00A33BCB" w:rsidRPr="006555F3">
        <w:t>1</w:t>
      </w:r>
      <w:r w:rsidRPr="006555F3">
        <w:t xml:space="preserve"> r.</w:t>
      </w:r>
    </w:p>
    <w:p w14:paraId="70098A35" w14:textId="01303D0C" w:rsidR="00C4411C" w:rsidRDefault="00C4411C" w:rsidP="00683850">
      <w:pPr>
        <w:spacing w:line="276" w:lineRule="auto"/>
        <w:jc w:val="center"/>
      </w:pPr>
      <w:r w:rsidRPr="009565D5">
        <w:t xml:space="preserve">Aktualizacja: Łapy, dnia </w:t>
      </w:r>
      <w:r w:rsidR="00C44246">
        <w:t>16</w:t>
      </w:r>
      <w:bookmarkStart w:id="0" w:name="_GoBack"/>
      <w:bookmarkEnd w:id="0"/>
      <w:r w:rsidR="009565D5" w:rsidRPr="009565D5">
        <w:t>.08.2021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A63201">
      <w:pPr>
        <w:spacing w:after="12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A63201">
      <w:pPr>
        <w:spacing w:after="120" w:line="276" w:lineRule="auto"/>
        <w:jc w:val="both"/>
      </w:pPr>
      <w:r>
        <w:t>2) „S</w:t>
      </w:r>
      <w:r w:rsidRPr="00AC07F3">
        <w:t xml:space="preserve">WZ” – niniejsza Specyfikacja Warunków Zamówienia, </w:t>
      </w:r>
    </w:p>
    <w:p w14:paraId="03D550E1" w14:textId="77777777" w:rsidR="00E30299" w:rsidRPr="00AC07F3" w:rsidRDefault="00E30299" w:rsidP="00A63201">
      <w:pPr>
        <w:spacing w:after="12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A63201">
      <w:pPr>
        <w:spacing w:after="12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4B25D4A9"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E31DEA" w:rsidRPr="005009EE">
        <w:rPr>
          <w:b/>
        </w:rPr>
        <w:t>1</w:t>
      </w:r>
      <w:r w:rsidR="005009EE" w:rsidRPr="005009EE">
        <w:rPr>
          <w:b/>
        </w:rPr>
        <w:t>9</w:t>
      </w:r>
      <w:r w:rsidRPr="005009EE">
        <w:rPr>
          <w:b/>
        </w:rPr>
        <w:t>/202</w:t>
      </w:r>
      <w:r w:rsidR="0072156B" w:rsidRPr="005009EE">
        <w:rPr>
          <w:b/>
        </w:rPr>
        <w:t>1</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4EA94DD2"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5E504C" w:rsidRPr="005E504C">
        <w:rPr>
          <w:rFonts w:eastAsiaTheme="minorHAnsi" w:cs="Calibri"/>
          <w:b/>
        </w:rPr>
        <w:t>Dostawa materiałów i sprzętów medycznych jednorazowego użytku</w:t>
      </w:r>
      <w:r w:rsidR="001D134F">
        <w:rPr>
          <w:rFonts w:eastAsiaTheme="minorHAnsi" w:cs="Calibri"/>
          <w:b/>
        </w:rPr>
        <w:t xml:space="preserve"> - uzupełnienie</w:t>
      </w:r>
      <w:r w:rsidR="000403CC">
        <w:rPr>
          <w:rFonts w:eastAsiaTheme="minorHAnsi" w:cs="Calibri"/>
        </w:rPr>
        <w:t>”.</w:t>
      </w:r>
    </w:p>
    <w:p w14:paraId="16908E44" w14:textId="3DF063EE" w:rsidR="00133552" w:rsidRDefault="00E24E79" w:rsidP="00D667C2">
      <w:pPr>
        <w:autoSpaceDE w:val="0"/>
        <w:autoSpaceDN w:val="0"/>
        <w:adjustRightInd w:val="0"/>
        <w:spacing w:after="12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1D134F">
        <w:rPr>
          <w:b/>
        </w:rPr>
        <w:t>37</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56CE68A" w:rsidR="00E31DEA" w:rsidRPr="00CC6DCD" w:rsidRDefault="00E31DEA" w:rsidP="00393B50">
      <w:pPr>
        <w:autoSpaceDE w:val="0"/>
        <w:autoSpaceDN w:val="0"/>
        <w:adjustRightInd w:val="0"/>
        <w:spacing w:after="24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29128C6B" w14:textId="3400D2DF" w:rsidR="0049576F" w:rsidRPr="00391648" w:rsidRDefault="00E24E79" w:rsidP="00CC6DCD">
      <w:pPr>
        <w:autoSpaceDE w:val="0"/>
        <w:autoSpaceDN w:val="0"/>
        <w:adjustRightInd w:val="0"/>
        <w:spacing w:after="0" w:line="276" w:lineRule="auto"/>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3DBD98A8"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51704D">
        <w:rPr>
          <w:rStyle w:val="Nagwek2Znak"/>
          <w:rFonts w:eastAsia="Calibri"/>
          <w:lang w:val="pl-PL"/>
        </w:rPr>
        <w:t>3</w:t>
      </w:r>
      <w:r w:rsidRPr="0051704D">
        <w:rPr>
          <w:rStyle w:val="Nagwek2Znak"/>
          <w:rFonts w:eastAsia="Calibri"/>
        </w:rPr>
        <w:t>.</w:t>
      </w:r>
      <w:r w:rsidRPr="0051704D">
        <w:rPr>
          <w:rStyle w:val="Nagwek2Znak"/>
          <w:rFonts w:eastAsia="Calibri"/>
          <w:lang w:val="pl-PL"/>
        </w:rPr>
        <w:t>8</w:t>
      </w:r>
      <w:r w:rsidRPr="0051704D">
        <w:rPr>
          <w:rStyle w:val="Nagwek2Znak"/>
          <w:rFonts w:eastAsia="Calibri"/>
        </w:rPr>
        <w:t>.</w:t>
      </w:r>
      <w:r w:rsidRPr="0051704D">
        <w:rPr>
          <w:rStyle w:val="Nagwek2Znak"/>
          <w:rFonts w:eastAsia="Calibri"/>
          <w:lang w:val="pl-PL"/>
        </w:rPr>
        <w:t xml:space="preserve"> </w:t>
      </w:r>
      <w:r w:rsidRPr="0051704D">
        <w:t xml:space="preserve">Zamawiający jest uprawniony do zmniejszenia zakresu zamówienia </w:t>
      </w:r>
      <w:r w:rsidRPr="0051704D">
        <w:rPr>
          <w:b/>
        </w:rPr>
        <w:t xml:space="preserve">w ilości nieprzekraczającej </w:t>
      </w:r>
      <w:r w:rsidR="007C2537">
        <w:rPr>
          <w:b/>
        </w:rPr>
        <w:t>8</w:t>
      </w:r>
      <w:r w:rsidRPr="0051704D">
        <w:rPr>
          <w:b/>
        </w:rPr>
        <w:t>0%</w:t>
      </w:r>
      <w:r w:rsidRPr="0051704D">
        <w:t xml:space="preserve"> względem</w:t>
      </w:r>
      <w:r w:rsidRPr="00E31DEA">
        <w:t xml:space="preserve"> ilości wskazanych w załączniku nr 1 do umowy. Wykonawcy nie przysługuje wobec Zamawiającego roszczenie odszkodowawcze w przypadku zmniejszenia zakresu umowy zgodnie </w:t>
      </w:r>
      <w:r w:rsidR="0099362C" w:rsidRPr="00E31DEA">
        <w:br/>
      </w:r>
      <w:r w:rsidRPr="00E31DEA">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126BCAB1"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14:paraId="6F18E74A" w14:textId="6C250DBD"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44A4FC56"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przez okres</w:t>
      </w:r>
      <w:r w:rsidR="00E31DEA">
        <w:rPr>
          <w:rFonts w:eastAsiaTheme="minorHAnsi" w:cs="Calibri"/>
        </w:rPr>
        <w:br/>
      </w:r>
      <w:r w:rsidR="005E504C" w:rsidRPr="006555F3">
        <w:rPr>
          <w:rFonts w:eastAsiaTheme="minorHAnsi" w:cs="Calibri"/>
          <w:b/>
        </w:rPr>
        <w:t>12</w:t>
      </w:r>
      <w:r w:rsidR="00D82B89" w:rsidRPr="006555F3">
        <w:rPr>
          <w:rFonts w:eastAsiaTheme="minorHAnsi" w:cs="Calibri"/>
          <w:b/>
        </w:rPr>
        <w:t xml:space="preserve"> miesięcy od dnia zawarcia umowy</w:t>
      </w:r>
      <w:r w:rsidR="00D82B89">
        <w:rPr>
          <w:rFonts w:eastAsiaTheme="minorHAnsi" w:cs="Calibri"/>
        </w:rPr>
        <w:t>.</w:t>
      </w:r>
    </w:p>
    <w:p w14:paraId="08D57230"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F8A558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78FF2D4C"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079AB2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6A6E7D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C189DE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14:paraId="676FC59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45FB538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55BFFB38"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41156E6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6E3873A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6BA9808"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3F6718D6"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130B0D7"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3FD25E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1A4349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3822959" w14:textId="0D267282" w:rsidR="00186024" w:rsidRPr="006555F3"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w:t>
      </w:r>
      <w:r w:rsidR="00B34B17" w:rsidRPr="006555F3">
        <w:rPr>
          <w:rFonts w:asciiTheme="minorHAnsi" w:hAnsiTheme="minorHAnsi" w:cstheme="minorHAnsi"/>
          <w:color w:val="auto"/>
          <w:sz w:val="22"/>
          <w:szCs w:val="22"/>
        </w:rPr>
        <w:t>dniem terminu związania ofertą jest dzień, w którym upływa termin składania ofert. Wykonawca jest związany ofertą</w:t>
      </w:r>
      <w:r w:rsidR="00C903DC" w:rsidRPr="006555F3">
        <w:rPr>
          <w:rFonts w:asciiTheme="minorHAnsi" w:hAnsiTheme="minorHAnsi" w:cstheme="minorHAnsi"/>
          <w:color w:val="auto"/>
          <w:sz w:val="22"/>
          <w:szCs w:val="22"/>
        </w:rPr>
        <w:t xml:space="preserve"> </w:t>
      </w:r>
      <w:r w:rsidR="00C903DC" w:rsidRPr="00BC323E">
        <w:rPr>
          <w:rFonts w:asciiTheme="minorHAnsi" w:hAnsiTheme="minorHAnsi" w:cstheme="minorHAnsi"/>
          <w:b/>
          <w:color w:val="FF0000"/>
          <w:sz w:val="22"/>
          <w:szCs w:val="22"/>
          <w:u w:val="single"/>
        </w:rPr>
        <w:t xml:space="preserve">do dnia </w:t>
      </w:r>
      <w:r w:rsidR="00BC323E" w:rsidRPr="00BC323E">
        <w:rPr>
          <w:rFonts w:asciiTheme="minorHAnsi" w:hAnsiTheme="minorHAnsi" w:cstheme="minorHAnsi"/>
          <w:b/>
          <w:color w:val="FF0000"/>
          <w:sz w:val="22"/>
          <w:szCs w:val="22"/>
          <w:u w:val="single"/>
        </w:rPr>
        <w:t>6.12</w:t>
      </w:r>
      <w:r w:rsidR="00C903DC" w:rsidRPr="00BC323E">
        <w:rPr>
          <w:rFonts w:asciiTheme="minorHAnsi" w:hAnsiTheme="minorHAnsi" w:cstheme="minorHAnsi"/>
          <w:b/>
          <w:color w:val="FF0000"/>
          <w:sz w:val="22"/>
          <w:szCs w:val="22"/>
          <w:u w:val="single"/>
        </w:rPr>
        <w:t>.</w:t>
      </w:r>
      <w:r w:rsidRPr="00BC323E">
        <w:rPr>
          <w:rFonts w:asciiTheme="minorHAnsi" w:hAnsiTheme="minorHAnsi" w:cstheme="minorHAnsi"/>
          <w:b/>
          <w:color w:val="FF0000"/>
          <w:sz w:val="22"/>
          <w:szCs w:val="22"/>
          <w:u w:val="single"/>
        </w:rPr>
        <w:t>2021 r.</w:t>
      </w:r>
    </w:p>
    <w:p w14:paraId="5379006A" w14:textId="77777777" w:rsidR="00C455A7" w:rsidRPr="00C455A7" w:rsidRDefault="00C455A7" w:rsidP="00C455A7">
      <w:pPr>
        <w:jc w:val="both"/>
      </w:pPr>
      <w:r w:rsidRPr="006555F3">
        <w:rPr>
          <w:rStyle w:val="Nagwek2Znak"/>
          <w:rFonts w:asciiTheme="minorHAnsi" w:eastAsia="Calibri" w:hAnsiTheme="minorHAnsi" w:cstheme="minorHAnsi"/>
          <w:lang w:val="pl-PL"/>
        </w:rPr>
        <w:t>8</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rPr>
          <w:rFonts w:asciiTheme="minorHAnsi" w:hAnsiTheme="minorHAnsi" w:cstheme="minorHAnsi"/>
        </w:rPr>
        <w:t>W przypadku, gdy wybór najkorzystniejszej oferty nie nastąpi przed upływem terminu związania ofertą określonego w dokumentach zamówienia, Zamawiający przed</w:t>
      </w:r>
      <w:r>
        <w:rPr>
          <w:rFonts w:asciiTheme="minorHAnsi" w:hAnsiTheme="minorHAnsi" w:cstheme="minorHAnsi"/>
        </w:rPr>
        <w:t xml:space="preserve">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14:paraId="6411CE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A2B14B6"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01C63D4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2D2A4269" w14:textId="2EEE1753"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0534E3">
        <w:t xml:space="preserve">owanym </w:t>
      </w:r>
      <w:r w:rsidR="00690F8F">
        <w:t>podpisem elektronicznym</w:t>
      </w:r>
      <w:r w:rsidR="00DB23AD">
        <w:t>)</w:t>
      </w:r>
      <w:r w:rsidR="00690F8F">
        <w:t>.</w:t>
      </w:r>
    </w:p>
    <w:p w14:paraId="494279A8"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64205C4"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7DE3DA9C"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29468B88" w14:textId="269ABEB9"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t>u</w:t>
      </w:r>
      <w:r>
        <w:t xml:space="preserve"> JEDZ</w:t>
      </w:r>
      <w:r w:rsidR="008C6445">
        <w:t>,</w:t>
      </w:r>
      <w:r>
        <w:t xml:space="preserve"> stanowiący</w:t>
      </w:r>
      <w:r w:rsidR="008C6445">
        <w:t>m</w:t>
      </w:r>
      <w:r>
        <w:t xml:space="preserve">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1263B9CC"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16DB9556" w14:textId="77777777"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ePUAP i udostępnionego również na miniPortalu. Sposób złożenia oferty opisany został w Instrukcji użytkownika dostępnej na miniPortalu. </w:t>
      </w:r>
    </w:p>
    <w:p w14:paraId="00FCD000" w14:textId="03787B5D" w:rsidR="00954CF2" w:rsidRPr="00C8543B" w:rsidRDefault="00954CF2" w:rsidP="00683850">
      <w:pPr>
        <w:spacing w:line="276" w:lineRule="auto"/>
        <w:jc w:val="both"/>
        <w:rPr>
          <w:b/>
          <w:u w:val="single"/>
        </w:rPr>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2</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Ofertę wraz z </w:t>
      </w:r>
      <w:r w:rsidRPr="006555F3">
        <w:t xml:space="preserve">wymaganymi załącznikami </w:t>
      </w:r>
      <w:r w:rsidRPr="006555F3">
        <w:rPr>
          <w:b/>
          <w:u w:val="single"/>
        </w:rPr>
        <w:t xml:space="preserve">należy złożyć w terminie do dnia </w:t>
      </w:r>
      <w:r w:rsidR="00A9574D" w:rsidRPr="00BC323E">
        <w:rPr>
          <w:b/>
          <w:color w:val="FF0000"/>
          <w:u w:val="single"/>
        </w:rPr>
        <w:t>0</w:t>
      </w:r>
      <w:r w:rsidR="00BC323E" w:rsidRPr="00BC323E">
        <w:rPr>
          <w:b/>
          <w:color w:val="FF0000"/>
          <w:u w:val="single"/>
        </w:rPr>
        <w:t>9</w:t>
      </w:r>
      <w:r w:rsidR="005B129F" w:rsidRPr="00BC323E">
        <w:rPr>
          <w:b/>
          <w:color w:val="FF0000"/>
          <w:u w:val="single"/>
        </w:rPr>
        <w:t>.0</w:t>
      </w:r>
      <w:r w:rsidR="00A9574D" w:rsidRPr="00BC323E">
        <w:rPr>
          <w:b/>
          <w:color w:val="FF0000"/>
          <w:u w:val="single"/>
        </w:rPr>
        <w:t>9</w:t>
      </w:r>
      <w:r w:rsidR="001A48A5" w:rsidRPr="00BC323E">
        <w:rPr>
          <w:b/>
          <w:color w:val="FF0000"/>
          <w:u w:val="single"/>
        </w:rPr>
        <w:t>.2021 r.</w:t>
      </w:r>
      <w:r w:rsidR="00917C70" w:rsidRPr="006555F3">
        <w:rPr>
          <w:b/>
          <w:u w:val="single"/>
        </w:rPr>
        <w:t xml:space="preserve">, </w:t>
      </w:r>
      <w:r w:rsidR="001A48A5" w:rsidRPr="006555F3">
        <w:rPr>
          <w:b/>
          <w:u w:val="single"/>
        </w:rPr>
        <w:br/>
      </w:r>
      <w:r w:rsidR="00917C70" w:rsidRPr="006555F3">
        <w:rPr>
          <w:b/>
          <w:u w:val="single"/>
        </w:rPr>
        <w:t xml:space="preserve">do godz. </w:t>
      </w:r>
      <w:r w:rsidR="005B129F" w:rsidRPr="006555F3">
        <w:rPr>
          <w:b/>
          <w:u w:val="single"/>
        </w:rPr>
        <w:t>1</w:t>
      </w:r>
      <w:r w:rsidR="005A1D5E" w:rsidRPr="006555F3">
        <w:rPr>
          <w:b/>
          <w:u w:val="single"/>
        </w:rPr>
        <w:t>0</w:t>
      </w:r>
      <w:r w:rsidR="005B129F" w:rsidRPr="006555F3">
        <w:rPr>
          <w:b/>
          <w:u w:val="single"/>
        </w:rPr>
        <w:t>:00</w:t>
      </w:r>
      <w:r w:rsidRPr="006555F3">
        <w:rPr>
          <w:b/>
          <w:u w:val="single"/>
        </w:rPr>
        <w:t>.</w:t>
      </w:r>
      <w:r w:rsidRPr="00C8543B">
        <w:rPr>
          <w:b/>
          <w:u w:val="single"/>
        </w:rPr>
        <w:t xml:space="preserve"> </w:t>
      </w:r>
    </w:p>
    <w:p w14:paraId="7DC4359C"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3</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może złożyć tylko jedną ofertę. </w:t>
      </w:r>
    </w:p>
    <w:p w14:paraId="6B49A8EB"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4</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Zamawiający odrzuci ofertę złożoną po terminie składania ofert. </w:t>
      </w:r>
    </w:p>
    <w:p w14:paraId="03E21F82"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5</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po przesłaniu oferty za pomocą Formularza do złożenia lub wycofania oferty na „ekranie sukcesu” otrzyma numer oferty generowany przez ePUAP. Ten numer należy zapisać </w:t>
      </w:r>
      <w:r w:rsidR="00AB70A0" w:rsidRPr="00C8543B">
        <w:br/>
      </w:r>
      <w:r w:rsidRPr="00C8543B">
        <w:t xml:space="preserve">i zachować. Będzie on potrzebny w razie ewentualnego wycofania oferty. </w:t>
      </w:r>
    </w:p>
    <w:p w14:paraId="14DF7381"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6</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B5ED4F5"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7</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Wykonawca po upływie terminu do składania ofert nie może wycofać złożonej oferty.</w:t>
      </w:r>
    </w:p>
    <w:p w14:paraId="601CA494" w14:textId="77777777" w:rsidR="00954CF2" w:rsidRPr="006555F3" w:rsidRDefault="00954CF2" w:rsidP="00683850">
      <w:pPr>
        <w:pStyle w:val="Nagwek1"/>
        <w:spacing w:line="276" w:lineRule="auto"/>
        <w:jc w:val="both"/>
        <w:rPr>
          <w:sz w:val="26"/>
          <w:szCs w:val="26"/>
        </w:rPr>
      </w:pPr>
      <w:r w:rsidRPr="00C8543B">
        <w:rPr>
          <w:rFonts w:ascii="Calibri" w:hAnsi="Calibri"/>
          <w:sz w:val="26"/>
          <w:szCs w:val="26"/>
        </w:rPr>
        <w:t>Rozdział 1</w:t>
      </w:r>
      <w:r w:rsidR="00A33BCB" w:rsidRPr="00C8543B">
        <w:rPr>
          <w:rFonts w:ascii="Calibri" w:hAnsi="Calibri"/>
          <w:sz w:val="26"/>
          <w:szCs w:val="26"/>
        </w:rPr>
        <w:t>2</w:t>
      </w:r>
      <w:r w:rsidRPr="00C8543B">
        <w:rPr>
          <w:rFonts w:ascii="Calibri" w:hAnsi="Calibri"/>
          <w:sz w:val="26"/>
          <w:szCs w:val="26"/>
        </w:rPr>
        <w:t xml:space="preserve"> </w:t>
      </w:r>
      <w:r w:rsidRPr="00C8543B">
        <w:rPr>
          <w:rFonts w:asciiTheme="minorHAnsi" w:hAnsiTheme="minorHAnsi" w:cstheme="minorHAnsi"/>
          <w:sz w:val="26"/>
          <w:szCs w:val="26"/>
        </w:rPr>
        <w:t xml:space="preserve">TERMIN OTWARCIA </w:t>
      </w:r>
      <w:r w:rsidRPr="006555F3">
        <w:rPr>
          <w:rFonts w:asciiTheme="minorHAnsi" w:hAnsiTheme="minorHAnsi" w:cstheme="minorHAnsi"/>
          <w:sz w:val="26"/>
          <w:szCs w:val="26"/>
        </w:rPr>
        <w:t>OFERT</w:t>
      </w:r>
    </w:p>
    <w:p w14:paraId="45E298FB" w14:textId="20CEBFED"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1</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w:t>
      </w:r>
      <w:r w:rsidRPr="00BC323E">
        <w:rPr>
          <w:b/>
          <w:color w:val="FF0000"/>
          <w:u w:val="single"/>
        </w:rPr>
        <w:t>nastąpi w dniu</w:t>
      </w:r>
      <w:r w:rsidR="004729A5" w:rsidRPr="00BC323E">
        <w:rPr>
          <w:b/>
          <w:color w:val="FF0000"/>
          <w:u w:val="single"/>
        </w:rPr>
        <w:t xml:space="preserve"> </w:t>
      </w:r>
      <w:r w:rsidR="00BC323E">
        <w:rPr>
          <w:b/>
          <w:color w:val="FF0000"/>
          <w:u w:val="single"/>
        </w:rPr>
        <w:t>0</w:t>
      </w:r>
      <w:r w:rsidR="00BC323E" w:rsidRPr="00BC323E">
        <w:rPr>
          <w:b/>
          <w:color w:val="FF0000"/>
          <w:u w:val="single"/>
        </w:rPr>
        <w:t>9</w:t>
      </w:r>
      <w:r w:rsidR="005B129F" w:rsidRPr="00BC323E">
        <w:rPr>
          <w:b/>
          <w:color w:val="FF0000"/>
          <w:u w:val="single"/>
        </w:rPr>
        <w:t>.0</w:t>
      </w:r>
      <w:r w:rsidR="00A9574D" w:rsidRPr="00BC323E">
        <w:rPr>
          <w:b/>
          <w:color w:val="FF0000"/>
          <w:u w:val="single"/>
        </w:rPr>
        <w:t>9</w:t>
      </w:r>
      <w:r w:rsidR="005B129F" w:rsidRPr="00BC323E">
        <w:rPr>
          <w:b/>
          <w:color w:val="FF0000"/>
          <w:u w:val="single"/>
        </w:rPr>
        <w:t>.2021 r</w:t>
      </w:r>
      <w:r w:rsidR="005B129F" w:rsidRPr="006555F3">
        <w:rPr>
          <w:b/>
          <w:u w:val="single"/>
        </w:rPr>
        <w:t>., o godzinie 1</w:t>
      </w:r>
      <w:r w:rsidR="004729A5" w:rsidRPr="006555F3">
        <w:rPr>
          <w:b/>
          <w:u w:val="single"/>
        </w:rPr>
        <w:t>2</w:t>
      </w:r>
      <w:r w:rsidR="005B129F" w:rsidRPr="006555F3">
        <w:rPr>
          <w:b/>
          <w:u w:val="single"/>
        </w:rPr>
        <w:t>:</w:t>
      </w:r>
      <w:r w:rsidR="004729A5" w:rsidRPr="006555F3">
        <w:rPr>
          <w:b/>
          <w:u w:val="single"/>
        </w:rPr>
        <w:t>0</w:t>
      </w:r>
      <w:r w:rsidR="00917C70" w:rsidRPr="006555F3">
        <w:rPr>
          <w:b/>
          <w:u w:val="single"/>
        </w:rPr>
        <w:t>0.</w:t>
      </w:r>
      <w:r w:rsidRPr="006555F3">
        <w:t xml:space="preserve"> </w:t>
      </w:r>
    </w:p>
    <w:p w14:paraId="2113BF82" w14:textId="77777777"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jest niejawne. </w:t>
      </w:r>
    </w:p>
    <w:p w14:paraId="0DA6AE67" w14:textId="77777777" w:rsidR="00954CF2"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3</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Zamawiający, najpóźniej przed otwarciem ofert</w:t>
      </w:r>
      <w:r w:rsidRPr="001A48A5">
        <w:t>, udostępnia na stronie internetowej prowadzonego postepowania informację o kwocie, jaką zamierza przeznaczyć na sfinansowanie zamówienia.</w:t>
      </w:r>
    </w:p>
    <w:p w14:paraId="4E7D6688"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3BD34354"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2CAB1C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2512E4F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E08FDFC"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5A0462B8" w14:textId="005FD143"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 post</w:t>
      </w:r>
      <w:r w:rsidR="007F31FA">
        <w:t>ę</w:t>
      </w:r>
      <w:r>
        <w:t xml:space="preserve">powania o udzielenie zamówienia </w:t>
      </w:r>
      <w:r w:rsidR="001677A3">
        <w:t>wyklucza si</w:t>
      </w:r>
      <w:r w:rsidR="007F31FA">
        <w:t>ę</w:t>
      </w:r>
      <w:r w:rsidR="001677A3">
        <w:t xml:space="preserve"> Wykonawcę na podstawie art. 108 ustawy</w:t>
      </w:r>
      <w:r>
        <w:t xml:space="preserve"> z zastrzeżeniem</w:t>
      </w:r>
      <w:r w:rsidR="001677A3">
        <w:t xml:space="preserve"> art. 110 ust. 2 pzp</w:t>
      </w:r>
      <w:r>
        <w:t xml:space="preserve">: </w:t>
      </w:r>
    </w:p>
    <w:p w14:paraId="754C1331" w14:textId="77777777" w:rsidR="00954CF2" w:rsidRDefault="00954CF2" w:rsidP="00683850">
      <w:pPr>
        <w:spacing w:line="276" w:lineRule="auto"/>
        <w:jc w:val="both"/>
      </w:pPr>
      <w:r>
        <w:t xml:space="preserve">1.1. będącego osobą fizyczną, którego prawomocnie skazano za przestępstwo: </w:t>
      </w:r>
    </w:p>
    <w:p w14:paraId="028943A7" w14:textId="1299052C" w:rsidR="00954CF2" w:rsidRDefault="00954CF2" w:rsidP="00683850">
      <w:pPr>
        <w:spacing w:line="276" w:lineRule="auto"/>
        <w:jc w:val="both"/>
      </w:pPr>
      <w:r>
        <w:t xml:space="preserve">a) udziału w zorganizowanej grupie przestępczej albo </w:t>
      </w:r>
      <w:r w:rsidR="007F31FA">
        <w:t>związku</w:t>
      </w:r>
      <w:r>
        <w:t xml:space="preserve"> </w:t>
      </w:r>
      <w:r w:rsidR="007F31FA">
        <w:t>mającym</w:t>
      </w:r>
      <w:r>
        <w:t xml:space="preserve"> na celu popełnienie </w:t>
      </w:r>
      <w:r w:rsidR="007F31FA">
        <w:t>przestępstwa</w:t>
      </w:r>
      <w:r>
        <w:t xml:space="preserve"> lub </w:t>
      </w:r>
      <w:r w:rsidR="007F31FA">
        <w:t>przestępstwa</w:t>
      </w:r>
      <w:r>
        <w:t xml:space="preserve"> skarbowego, o którym mowa w art. 258 Kodeksu karnego, </w:t>
      </w:r>
    </w:p>
    <w:p w14:paraId="66F51317" w14:textId="77777777" w:rsidR="00954CF2" w:rsidRDefault="00954CF2" w:rsidP="00683850">
      <w:pPr>
        <w:spacing w:line="276" w:lineRule="auto"/>
        <w:jc w:val="both"/>
      </w:pPr>
      <w:r>
        <w:t xml:space="preserve">b) handlu ludźmi, o którym mowa w art. 189a Kodeksu karnego, </w:t>
      </w:r>
    </w:p>
    <w:p w14:paraId="62EA46C0" w14:textId="77777777" w:rsidR="00954CF2" w:rsidRDefault="00954CF2" w:rsidP="00683850">
      <w:pPr>
        <w:spacing w:line="276" w:lineRule="auto"/>
        <w:jc w:val="both"/>
      </w:pPr>
      <w:r>
        <w:t xml:space="preserve">c) o którym mowa w art. 228–230a, art. 250a Kodeksu karnego lub w art. 46 lub art. 48 ustawy </w:t>
      </w:r>
      <w:r w:rsidR="001C726A">
        <w:br/>
      </w:r>
      <w:r>
        <w:t xml:space="preserve">z dnia 25 czerwca 2010 r. o sporcie, </w:t>
      </w:r>
    </w:p>
    <w:p w14:paraId="50A92C16" w14:textId="77777777"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050D16E5" w14:textId="77777777" w:rsidR="00954CF2" w:rsidRDefault="00954CF2" w:rsidP="00683850">
      <w:pPr>
        <w:spacing w:line="276" w:lineRule="auto"/>
        <w:jc w:val="both"/>
      </w:pPr>
      <w:r>
        <w:t xml:space="preserve">e) o charakterze terrorystycznym, o którym mowa w art. 115 § 20 Kodeksu karnego, lub mające na celu popełnienie tego przestępstwa, </w:t>
      </w:r>
    </w:p>
    <w:p w14:paraId="62340CEE" w14:textId="77777777"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14:paraId="01E0FA14" w14:textId="77777777"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2EE68F28"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5E0ECCB8"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78D0A1DB"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76DE47CA" w14:textId="77777777" w:rsidR="00954CF2" w:rsidRDefault="00954CF2" w:rsidP="00683850">
      <w:pPr>
        <w:spacing w:line="276" w:lineRule="auto"/>
        <w:jc w:val="both"/>
      </w:pPr>
      <w:r>
        <w:t xml:space="preserve">1.4. wobec którego orzeczono zakaz ubiegania się o zamówienia publiczne; </w:t>
      </w:r>
    </w:p>
    <w:p w14:paraId="48750CB0"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od siebie; </w:t>
      </w:r>
    </w:p>
    <w:p w14:paraId="4D74A2F7"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0E9CAE35"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r w:rsidR="00B040CA">
        <w:t xml:space="preserve"> Wykluczenie Wykonawcy następuje na okres określony w art. 111 ustawy.</w:t>
      </w:r>
    </w:p>
    <w:p w14:paraId="2BD3DDE1"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001677A3">
        <w:rPr>
          <w:rFonts w:eastAsiaTheme="minorHAnsi" w:cs="Calibri"/>
        </w:rPr>
        <w:t xml:space="preserve"> </w:t>
      </w:r>
      <w:r w:rsidR="00B040CA">
        <w:rPr>
          <w:rFonts w:eastAsiaTheme="minorHAnsi" w:cs="Calibri"/>
        </w:rPr>
        <w:br/>
      </w:r>
      <w:r w:rsidR="001677A3">
        <w:rPr>
          <w:rFonts w:eastAsiaTheme="minorHAnsi" w:cs="Calibri"/>
        </w:rPr>
        <w:t>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79F3C42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17B9B81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4AD8C1D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789153BB"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A462C1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71162B4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A86E9D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4C55C4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71284C52" w14:textId="7CC998CA" w:rsidR="00A63201" w:rsidRDefault="00A33BCB" w:rsidP="00A63201">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2CE23B0D"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7E0032DE" w14:textId="77777777" w:rsidR="00A33BCB" w:rsidRPr="00A33BCB" w:rsidRDefault="00A33BCB" w:rsidP="00A33BCB">
      <w:pPr>
        <w:autoSpaceDE w:val="0"/>
        <w:autoSpaceDN w:val="0"/>
        <w:adjustRightInd w:val="0"/>
        <w:spacing w:after="0" w:line="240" w:lineRule="auto"/>
        <w:jc w:val="both"/>
        <w:rPr>
          <w:rFonts w:cs="Calibri"/>
        </w:rPr>
      </w:pPr>
    </w:p>
    <w:p w14:paraId="68AC63FC"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3884A5C5"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3D84DA2" w14:textId="77777777" w:rsidR="00353827" w:rsidRPr="00F51420"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C271C3D"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73732893" w14:textId="77777777" w:rsidR="00BE5C53" w:rsidRPr="00334725" w:rsidRDefault="00F51420" w:rsidP="007F31FA">
      <w:pPr>
        <w:spacing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23E87622"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2808AB07"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6F95F99E"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406B9A08" w14:textId="5CF76B1D" w:rsidR="00A63201"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01873010" w14:textId="4587553A" w:rsidR="00C06538"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0534E3">
        <w:rPr>
          <w:rFonts w:asciiTheme="minorHAnsi" w:eastAsiaTheme="minorHAnsi" w:hAnsiTheme="minorHAnsi" w:cstheme="minorHAnsi"/>
          <w:szCs w:val="20"/>
          <w:u w:val="single"/>
        </w:rPr>
        <w:t xml:space="preserve">Zamawiający nie przewiduje dokumentów </w:t>
      </w:r>
      <w:r w:rsidRPr="000534E3">
        <w:rPr>
          <w:rFonts w:asciiTheme="minorHAnsi" w:eastAsiaTheme="minorHAnsi" w:hAnsiTheme="minorHAnsi" w:cstheme="minorHAnsi"/>
          <w:szCs w:val="20"/>
          <w:u w:val="single"/>
        </w:rPr>
        <w:br/>
        <w:t>w tym zakresie.</w:t>
      </w:r>
    </w:p>
    <w:p w14:paraId="73DD5A26" w14:textId="77777777" w:rsidR="007F31FA" w:rsidRPr="00E50D84"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00DB76AB"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6661FA26"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14:paraId="57C6673C"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Default="00091631" w:rsidP="00091631">
      <w:pPr>
        <w:pStyle w:val="Akapitzlist"/>
        <w:jc w:val="both"/>
      </w:pPr>
      <w:r>
        <w:t>- sporządzonej nie wcześniej niż 6 miesięcy przed jej złożeniem.</w:t>
      </w:r>
    </w:p>
    <w:p w14:paraId="6E06D66D"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175D11DB"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6882B494"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7956908B" w14:textId="475A7D7C"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1D134F">
        <w:t xml:space="preserve">art. 108 ust. 1 pkt 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8F40B3A"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7A8C177"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17F89095" w14:textId="76515FEF"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w:t>
      </w:r>
      <w:r w:rsidR="009323F9">
        <w:rPr>
          <w:rStyle w:val="Nagwek2Znak"/>
          <w:rFonts w:asciiTheme="minorHAnsi" w:eastAsia="Calibri" w:hAnsiTheme="minorHAnsi" w:cstheme="minorHAnsi"/>
          <w:color w:val="auto"/>
          <w:sz w:val="22"/>
          <w:lang w:val="pl-PL"/>
        </w:rPr>
        <w:t>–</w:t>
      </w:r>
      <w:r w:rsidR="00974821" w:rsidRPr="001C726A">
        <w:rPr>
          <w:rStyle w:val="Nagwek2Znak"/>
          <w:rFonts w:asciiTheme="minorHAnsi" w:eastAsia="Calibri" w:hAnsiTheme="minorHAnsi" w:cstheme="minorHAnsi"/>
          <w:color w:val="auto"/>
          <w:sz w:val="22"/>
          <w:lang w:val="pl-PL"/>
        </w:rPr>
        <w:t xml:space="preserve"> </w:t>
      </w:r>
      <w:r w:rsidR="00391648" w:rsidRPr="001C726A">
        <w:rPr>
          <w:rStyle w:val="Nagwek2Znak"/>
          <w:rFonts w:asciiTheme="minorHAnsi" w:eastAsia="Calibri" w:hAnsiTheme="minorHAnsi" w:cstheme="minorHAnsi"/>
          <w:color w:val="auto"/>
          <w:sz w:val="22"/>
          <w:lang w:val="pl-PL"/>
        </w:rPr>
        <w:t>nie dotyczy;</w:t>
      </w:r>
    </w:p>
    <w:p w14:paraId="35CF5DE6"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Pr>
          <w:rStyle w:val="Nagwek2Znak"/>
          <w:rFonts w:asciiTheme="minorHAnsi" w:eastAsia="Calibri" w:hAnsiTheme="minorHAnsi" w:cstheme="minorHAnsi"/>
          <w:color w:val="auto"/>
          <w:sz w:val="22"/>
          <w:lang w:val="pl-PL"/>
        </w:rPr>
        <w:t>–</w:t>
      </w:r>
      <w:r w:rsidRPr="00DE6B19">
        <w:rPr>
          <w:rStyle w:val="Nagwek2Znak"/>
          <w:rFonts w:asciiTheme="minorHAnsi" w:eastAsia="Calibri" w:hAnsiTheme="minorHAnsi" w:cstheme="minorHAnsi"/>
          <w:color w:val="auto"/>
          <w:sz w:val="22"/>
          <w:lang w:val="pl-PL"/>
        </w:rPr>
        <w:t xml:space="preserve">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6D765ABB" w14:textId="7F019B06" w:rsidR="00683850" w:rsidRPr="00C903DC"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Pr>
          <w:rStyle w:val="Nagwek2Znak"/>
          <w:rFonts w:asciiTheme="minorHAnsi" w:eastAsia="Calibri" w:hAnsiTheme="minorHAnsi" w:cstheme="minorHAnsi"/>
          <w:color w:val="auto"/>
          <w:sz w:val="22"/>
          <w:lang w:val="pl-PL"/>
        </w:rPr>
        <w:t xml:space="preserve"> </w:t>
      </w:r>
      <w:r w:rsidRPr="00683850">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Pr>
          <w:rStyle w:val="Nagwek2Znak"/>
          <w:rFonts w:asciiTheme="minorHAnsi" w:eastAsia="Calibri" w:hAnsiTheme="minorHAnsi" w:cstheme="minorHAnsi"/>
          <w:color w:val="auto"/>
          <w:sz w:val="22"/>
          <w:lang w:val="pl-PL"/>
        </w:rPr>
        <w:t>–</w:t>
      </w:r>
      <w:r w:rsidRPr="00683850">
        <w:rPr>
          <w:rStyle w:val="Nagwek2Znak"/>
          <w:rFonts w:asciiTheme="minorHAnsi" w:eastAsia="Calibri" w:hAnsiTheme="minorHAnsi" w:cstheme="minorHAnsi"/>
          <w:color w:val="auto"/>
          <w:sz w:val="22"/>
          <w:lang w:val="pl-PL"/>
        </w:rPr>
        <w:t xml:space="preserve"> Prawo </w:t>
      </w:r>
      <w:r w:rsidR="001D134F">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o notariacie, które to poświadczenie notariusz </w:t>
      </w:r>
      <w:r w:rsidRPr="00C903DC">
        <w:rPr>
          <w:rStyle w:val="Nagwek2Znak"/>
          <w:rFonts w:asciiTheme="minorHAnsi" w:eastAsia="Calibri" w:hAnsiTheme="minorHAnsi" w:cstheme="minorHAnsi"/>
          <w:color w:val="auto"/>
          <w:sz w:val="22"/>
          <w:lang w:val="pl-PL"/>
        </w:rPr>
        <w:t>opatruje kwalifikowanym podpisem elektronicznym, bądź też poprzez opatrzenie skanu pełnomocnictwa sporządzonego uprzednio w formie p</w:t>
      </w:r>
      <w:r w:rsidR="001D134F">
        <w:rPr>
          <w:rStyle w:val="Nagwek2Znak"/>
          <w:rFonts w:asciiTheme="minorHAnsi" w:eastAsia="Calibri" w:hAnsiTheme="minorHAnsi" w:cstheme="minorHAnsi"/>
          <w:color w:val="auto"/>
          <w:sz w:val="22"/>
          <w:lang w:val="pl-PL"/>
        </w:rPr>
        <w:t>isemnej kwalifikowanym podpisem</w:t>
      </w:r>
      <w:r w:rsidRPr="00C903DC">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Default="00DE6B19" w:rsidP="00A33BCB">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08D44189"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51E2E3A2"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843A6E8" w14:textId="4CAEF059" w:rsidR="009C365F" w:rsidRPr="00C903DC" w:rsidRDefault="009C365F" w:rsidP="007D369A">
      <w:pPr>
        <w:pStyle w:val="Akapitzlist"/>
        <w:numPr>
          <w:ilvl w:val="0"/>
          <w:numId w:val="13"/>
        </w:numPr>
        <w:spacing w:line="276" w:lineRule="auto"/>
        <w:jc w:val="both"/>
      </w:pPr>
      <w:r>
        <w:t xml:space="preserve">oświadczenie z art. 125 ust. 1 </w:t>
      </w:r>
      <w:r w:rsidRPr="00BA7E48">
        <w:t xml:space="preserve">ustawy – </w:t>
      </w:r>
      <w:r w:rsidRPr="007D369A">
        <w:rPr>
          <w:b/>
          <w:bCs/>
        </w:rPr>
        <w:t xml:space="preserve">załącznik nr </w:t>
      </w:r>
      <w:r w:rsidR="00BA7E48" w:rsidRPr="007D369A">
        <w:rPr>
          <w:b/>
          <w:bCs/>
        </w:rPr>
        <w:t>3</w:t>
      </w:r>
      <w:r w:rsidRPr="007D369A">
        <w:rPr>
          <w:b/>
          <w:bCs/>
        </w:rPr>
        <w:t xml:space="preserve"> do SWZ</w:t>
      </w:r>
      <w:r w:rsidR="007F31FA">
        <w:t>.</w:t>
      </w:r>
    </w:p>
    <w:p w14:paraId="2666B8B9" w14:textId="77777777" w:rsidR="0022263F" w:rsidRDefault="00A3532F" w:rsidP="0022263F">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4DC94BA7" w14:textId="77777777" w:rsidR="0022263F" w:rsidRDefault="0022263F" w:rsidP="0022263F">
      <w:pPr>
        <w:spacing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681338" w14:textId="77777777" w:rsidR="0022263F" w:rsidRDefault="0022263F" w:rsidP="0022263F">
      <w:pPr>
        <w:spacing w:line="276" w:lineRule="auto"/>
        <w:jc w:val="both"/>
      </w:pPr>
      <w:r>
        <w:t>2) zachodzą przesłanki unieważnienia postępowania.</w:t>
      </w:r>
    </w:p>
    <w:p w14:paraId="39B6251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5A1607E2"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1A395D5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5BDBBB4"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7AD6A29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14:paraId="172919AF" w14:textId="7BA52724"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w:t>
      </w:r>
      <w:r w:rsidR="000534E3">
        <w:rPr>
          <w:u w:val="single"/>
        </w:rPr>
        <w:t>,</w:t>
      </w:r>
      <w:r w:rsidR="00A3532F" w:rsidRPr="00871B9A">
        <w:rPr>
          <w:u w:val="single"/>
        </w:rPr>
        <w:t xml:space="preserve"> Zamawiający uzna, iż całość zamówienia Wykonawca wykona </w:t>
      </w:r>
      <w:r w:rsidR="009323F9">
        <w:rPr>
          <w:u w:val="single"/>
        </w:rPr>
        <w:t>s</w:t>
      </w:r>
      <w:r w:rsidR="00A3532F" w:rsidRPr="00871B9A">
        <w:rPr>
          <w:u w:val="single"/>
        </w:rPr>
        <w:t>amodzielnie.</w:t>
      </w:r>
    </w:p>
    <w:p w14:paraId="1ECB0E5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6EF1E92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518B982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31110EB3" w14:textId="77777777" w:rsidR="00A3532F" w:rsidRDefault="00A3532F" w:rsidP="00683850">
      <w:pPr>
        <w:spacing w:line="276" w:lineRule="auto"/>
        <w:jc w:val="both"/>
      </w:pPr>
      <w:r>
        <w:t>1) oferta wspólna powin</w:t>
      </w:r>
      <w:r w:rsidR="00A33BCB">
        <w:t>na być sporządzona zgodnie ze S</w:t>
      </w:r>
      <w:r>
        <w:t>WZ;</w:t>
      </w:r>
    </w:p>
    <w:p w14:paraId="766DAD95"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E64FA6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42E64018"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16359EEE"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221ECB82" w14:textId="77777777" w:rsidR="00A3532F" w:rsidRDefault="00A3532F" w:rsidP="00683850">
      <w:pPr>
        <w:spacing w:line="276" w:lineRule="auto"/>
        <w:jc w:val="both"/>
      </w:pPr>
      <w:r>
        <w:t>2) określenie szczegółowego zakresu działania poszczególnych stron umowy,</w:t>
      </w:r>
    </w:p>
    <w:p w14:paraId="1271F2CD"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387C5B4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15C633C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FBCCDE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933FFBE"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A1F6933"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121391D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13CE7D16"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3A16D43"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12E98CFE"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24D2A43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FF3D2AA"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BB2B1E">
        <w:br/>
      </w:r>
      <w:r w:rsidR="005F37C3">
        <w:t xml:space="preserve">z art. 223 ust. 2 pkt 3 pzp). </w:t>
      </w:r>
    </w:p>
    <w:p w14:paraId="07E58C1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0C3B268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4417496"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6E228823" w14:textId="77777777" w:rsidR="00D07115" w:rsidRDefault="00D07115" w:rsidP="00683850">
      <w:pPr>
        <w:autoSpaceDE w:val="0"/>
        <w:autoSpaceDN w:val="0"/>
        <w:adjustRightInd w:val="0"/>
        <w:spacing w:after="0" w:line="276" w:lineRule="auto"/>
        <w:jc w:val="both"/>
      </w:pPr>
    </w:p>
    <w:p w14:paraId="3DCDAB4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16300F9F" w14:textId="77777777" w:rsidR="005F37C3" w:rsidRDefault="005F37C3" w:rsidP="00D667C2">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7ADAABD6" w14:textId="43DF5BBF" w:rsidR="00482E60"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 xml:space="preserve">Cena </w:t>
      </w:r>
      <w:r w:rsidR="009323F9">
        <w:rPr>
          <w:rFonts w:eastAsiaTheme="minorHAnsi" w:cs="Calibri"/>
          <w:b/>
          <w:bCs/>
        </w:rPr>
        <w:t>6</w:t>
      </w:r>
      <w:r w:rsidR="00861E21">
        <w:rPr>
          <w:rFonts w:eastAsiaTheme="minorHAnsi" w:cs="Calibri"/>
          <w:b/>
          <w:bCs/>
        </w:rPr>
        <w:t>0 pkt</w:t>
      </w:r>
    </w:p>
    <w:p w14:paraId="27DA10A8" w14:textId="717FF22F" w:rsidR="00AE5401" w:rsidRPr="00AE5401" w:rsidRDefault="00AE5401" w:rsidP="00AE5401">
      <w:pPr>
        <w:spacing w:line="240" w:lineRule="auto"/>
        <w:rPr>
          <w:rFonts w:asciiTheme="minorHAnsi" w:hAnsiTheme="minorHAnsi"/>
        </w:rPr>
      </w:pPr>
      <w:r w:rsidRPr="00AE5401">
        <w:rPr>
          <w:rFonts w:asciiTheme="minorHAnsi" w:hAnsiTheme="minorHAnsi"/>
        </w:rPr>
        <w:t xml:space="preserve">Punkty za kryterium </w:t>
      </w:r>
      <w:r w:rsidR="009323F9">
        <w:rPr>
          <w:rFonts w:asciiTheme="minorHAnsi" w:hAnsiTheme="minorHAnsi"/>
        </w:rPr>
        <w:t>„</w:t>
      </w:r>
      <w:r w:rsidRPr="00AE5401">
        <w:rPr>
          <w:rFonts w:asciiTheme="minorHAnsi" w:hAnsiTheme="minorHAnsi"/>
        </w:rPr>
        <w:t>Cena</w:t>
      </w:r>
      <w:r w:rsidR="009323F9">
        <w:rPr>
          <w:rFonts w:asciiTheme="minorHAnsi" w:hAnsiTheme="minorHAnsi"/>
        </w:rPr>
        <w:t>”</w:t>
      </w:r>
      <w:r w:rsidRPr="00AE5401">
        <w:rPr>
          <w:rFonts w:asciiTheme="minorHAnsi" w:hAnsiTheme="minorHAnsi"/>
        </w:rPr>
        <w:t xml:space="preserve"> zostaną obliczone według następującego wzoru:</w:t>
      </w:r>
    </w:p>
    <w:p w14:paraId="73BDD0CC" w14:textId="5C6B2641"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9323F9">
        <w:rPr>
          <w:rFonts w:asciiTheme="minorHAnsi" w:hAnsiTheme="minorHAnsi"/>
          <w:b/>
        </w:rPr>
        <w:t>6</w:t>
      </w:r>
      <w:r w:rsidRPr="00AE5401">
        <w:rPr>
          <w:rFonts w:asciiTheme="minorHAnsi" w:hAnsiTheme="minorHAnsi"/>
          <w:b/>
        </w:rPr>
        <w:t>0 pkt</w:t>
      </w:r>
    </w:p>
    <w:p w14:paraId="540025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249E63E6" w14:textId="1D34C1D3"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851579">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6B6B2566" w14:textId="19B5B105"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w:t>
      </w:r>
      <w:r w:rsidR="00851579">
        <w:rPr>
          <w:rFonts w:asciiTheme="minorHAnsi" w:hAnsiTheme="minorHAnsi"/>
        </w:rPr>
        <w:t>–</w:t>
      </w:r>
      <w:r w:rsidRPr="00AE5401">
        <w:rPr>
          <w:rFonts w:asciiTheme="minorHAnsi" w:hAnsiTheme="minorHAnsi"/>
        </w:rPr>
        <w:t xml:space="preserve"> najniższa cena ofertowa spośród ofert nieodrzuconych, </w:t>
      </w:r>
    </w:p>
    <w:p w14:paraId="0886B8C3"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336ACA50" w14:textId="4961B902"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61E2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82759B" w14:textId="343FE68C" w:rsidR="009323F9" w:rsidRPr="009323F9" w:rsidRDefault="00861E21" w:rsidP="009323F9">
      <w:pPr>
        <w:pStyle w:val="Akapitzlist"/>
        <w:numPr>
          <w:ilvl w:val="0"/>
          <w:numId w:val="5"/>
        </w:numPr>
        <w:spacing w:line="240" w:lineRule="auto"/>
        <w:jc w:val="both"/>
        <w:rPr>
          <w:rFonts w:asciiTheme="minorHAnsi" w:hAnsiTheme="minorHAnsi"/>
          <w:b/>
          <w:bCs/>
        </w:rPr>
      </w:pPr>
      <w:r>
        <w:rPr>
          <w:rFonts w:asciiTheme="minorHAnsi" w:hAnsiTheme="minorHAnsi"/>
          <w:b/>
          <w:bCs/>
        </w:rPr>
        <w:t>Termin dostawy 40 pkt</w:t>
      </w:r>
    </w:p>
    <w:p w14:paraId="5D52B77A" w14:textId="3D51F77E" w:rsidR="009323F9" w:rsidRPr="009323F9" w:rsidRDefault="009323F9" w:rsidP="009323F9">
      <w:pPr>
        <w:spacing w:line="240" w:lineRule="auto"/>
        <w:jc w:val="both"/>
        <w:rPr>
          <w:rFonts w:asciiTheme="minorHAnsi" w:hAnsiTheme="minorHAnsi"/>
          <w:bCs/>
        </w:rPr>
      </w:pPr>
      <w:r w:rsidRPr="009323F9">
        <w:rPr>
          <w:rFonts w:asciiTheme="minorHAnsi" w:hAnsiTheme="minorHAnsi"/>
          <w:bCs/>
        </w:rPr>
        <w:t xml:space="preserve">Punkty za kryterium </w:t>
      </w:r>
      <w:r>
        <w:rPr>
          <w:rFonts w:asciiTheme="minorHAnsi" w:hAnsiTheme="minorHAnsi"/>
          <w:bCs/>
        </w:rPr>
        <w:t>„</w:t>
      </w:r>
      <w:r w:rsidRPr="009323F9">
        <w:rPr>
          <w:rFonts w:asciiTheme="minorHAnsi" w:hAnsiTheme="minorHAnsi"/>
          <w:bCs/>
        </w:rPr>
        <w:t>Termin dostawy</w:t>
      </w:r>
      <w:r>
        <w:rPr>
          <w:rFonts w:asciiTheme="minorHAnsi" w:hAnsiTheme="minorHAnsi"/>
          <w:bCs/>
        </w:rPr>
        <w:t>”</w:t>
      </w:r>
      <w:r w:rsidRPr="009323F9">
        <w:rPr>
          <w:rFonts w:asciiTheme="minorHAnsi" w:hAnsiTheme="minorHAnsi"/>
          <w:bCs/>
        </w:rPr>
        <w:t xml:space="preserve"> ustala się w sposób następujący:</w:t>
      </w:r>
    </w:p>
    <w:p w14:paraId="4955B8A8" w14:textId="61F6A653"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2 dni robocze – 40 pkt</w:t>
      </w:r>
      <w:r w:rsidR="00356382">
        <w:rPr>
          <w:rFonts w:asciiTheme="minorHAnsi" w:hAnsiTheme="minorHAnsi"/>
          <w:b/>
          <w:bCs/>
        </w:rPr>
        <w:t>,</w:t>
      </w:r>
    </w:p>
    <w:p w14:paraId="7899F01A" w14:textId="4E57AB9F"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3 dni robocze – 30 pkt</w:t>
      </w:r>
      <w:r w:rsidR="00356382">
        <w:rPr>
          <w:rFonts w:asciiTheme="minorHAnsi" w:hAnsiTheme="minorHAnsi"/>
          <w:b/>
          <w:bCs/>
        </w:rPr>
        <w:t>,</w:t>
      </w:r>
    </w:p>
    <w:p w14:paraId="449D04F0" w14:textId="145FDB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4 dni robocze – 20 pkt</w:t>
      </w:r>
      <w:r w:rsidR="00356382">
        <w:rPr>
          <w:rFonts w:asciiTheme="minorHAnsi" w:hAnsiTheme="minorHAnsi"/>
          <w:b/>
          <w:bCs/>
        </w:rPr>
        <w:t>,</w:t>
      </w:r>
    </w:p>
    <w:p w14:paraId="56D34FD1" w14:textId="72E1F8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5 dni roboczych – 10 pkt</w:t>
      </w:r>
      <w:r w:rsidR="00356382">
        <w:rPr>
          <w:rFonts w:asciiTheme="minorHAnsi" w:hAnsiTheme="minorHAnsi"/>
          <w:b/>
          <w:bCs/>
        </w:rPr>
        <w:t>.</w:t>
      </w:r>
    </w:p>
    <w:p w14:paraId="03A9DC99" w14:textId="77777777" w:rsidR="009323F9" w:rsidRPr="009323F9" w:rsidRDefault="009323F9" w:rsidP="009323F9">
      <w:pPr>
        <w:spacing w:line="240" w:lineRule="auto"/>
        <w:jc w:val="both"/>
        <w:rPr>
          <w:rFonts w:asciiTheme="minorHAnsi" w:hAnsiTheme="minorHAnsi"/>
        </w:rPr>
      </w:pPr>
      <w:r w:rsidRPr="009323F9">
        <w:rPr>
          <w:rFonts w:asciiTheme="minorHAnsi" w:hAnsiTheme="minorHAnsi"/>
        </w:rPr>
        <w:t xml:space="preserve">W kryterium „Termin dostawy”, punkty zostaną przyznane zgodnie z wskazaną powyżej punktacją. </w:t>
      </w:r>
    </w:p>
    <w:p w14:paraId="07A9F1C8" w14:textId="77777777" w:rsidR="00356382" w:rsidRPr="00356382" w:rsidRDefault="00356382" w:rsidP="00356382">
      <w:pPr>
        <w:spacing w:line="240" w:lineRule="auto"/>
        <w:jc w:val="both"/>
        <w:rPr>
          <w:rFonts w:asciiTheme="minorHAnsi" w:hAnsiTheme="minorHAnsi"/>
          <w:i/>
          <w:color w:val="FF0000"/>
        </w:rPr>
      </w:pPr>
      <w:bookmarkStart w:id="1" w:name="_Hlk70324084"/>
      <w:r w:rsidRPr="00356382">
        <w:rPr>
          <w:rFonts w:asciiTheme="minorHAnsi" w:hAnsiTheme="minorHAnsi"/>
          <w:i/>
          <w:color w:val="FF0000"/>
        </w:rPr>
        <w:t xml:space="preserve">Wykonawca jest zobowiązany wskazać jeden z dopuszczonych przez Zamawiającego terminów. </w:t>
      </w:r>
      <w:r w:rsidRPr="00356382">
        <w:rPr>
          <w:rFonts w:asciiTheme="minorHAnsi" w:hAnsiTheme="minorHAnsi"/>
          <w:i/>
          <w:color w:val="FF0000"/>
        </w:rPr>
        <w:br/>
        <w:t xml:space="preserve">W przypadku, gdy Wykonawca nie wskaże terminu, tj. pozostawi puste miejsce, Zamawiający uzna, </w:t>
      </w:r>
      <w:r w:rsidRPr="00356382">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356382">
        <w:rPr>
          <w:rFonts w:asciiTheme="minorHAnsi" w:hAnsiTheme="minorHAnsi"/>
          <w:i/>
          <w:color w:val="FF0000"/>
        </w:rPr>
        <w:br/>
        <w:t xml:space="preserve">iż oferta jest niezgodna z SWZ. </w:t>
      </w:r>
    </w:p>
    <w:bookmarkEnd w:id="1"/>
    <w:p w14:paraId="22E01EC1" w14:textId="2BCB3BB5"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Ocenie będ</w:t>
      </w:r>
      <w:r w:rsidR="001B4D3B">
        <w:t>ą podlegać wyłącznie oferty nie</w:t>
      </w:r>
      <w:r>
        <w:t xml:space="preserve">podlegające odrzuceniu. </w:t>
      </w:r>
    </w:p>
    <w:p w14:paraId="58FAAA0D" w14:textId="51721099" w:rsidR="00851579"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w:t>
      </w:r>
      <w:r w:rsidR="00851579" w:rsidRPr="00851579">
        <w:t>(cena + termin dostawy), tj. przedstawiająca najkorzystniejszy bilans kryteriów oceny ofert przedstawionych w 1</w:t>
      </w:r>
      <w:r w:rsidR="00851579">
        <w:t>8</w:t>
      </w:r>
      <w:r w:rsidR="00851579" w:rsidRPr="00851579">
        <w:t xml:space="preserve">.1. </w:t>
      </w:r>
    </w:p>
    <w:p w14:paraId="633E696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6C5E795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F621881"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715310A9"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1AB310B8"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W przypadku braku zgody, o kto</w:t>
      </w:r>
      <w:r w:rsidR="00125409">
        <w:t>́rej mowa w 16 ust. 7</w:t>
      </w:r>
      <w:r w:rsidR="005F37C3">
        <w:t xml:space="preserve"> oferta podlega odrzuceniu, a Zamawiający zwraca się o wyrażenie takiej zgody do kolejnego Wykonawcy, którego oferta została najwyżej oceniona, chyba że zachodzą przesłanki do unieważnienia postępowania.</w:t>
      </w:r>
    </w:p>
    <w:p w14:paraId="629516EB" w14:textId="77777777" w:rsidR="000D284F" w:rsidRDefault="000D284F" w:rsidP="00683850">
      <w:pPr>
        <w:autoSpaceDE w:val="0"/>
        <w:autoSpaceDN w:val="0"/>
        <w:adjustRightInd w:val="0"/>
        <w:spacing w:after="0" w:line="276" w:lineRule="auto"/>
        <w:jc w:val="both"/>
      </w:pPr>
    </w:p>
    <w:p w14:paraId="0C9D186E"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1BEEC63" w14:textId="23E331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w:t>
      </w:r>
      <w:r w:rsidR="009A1141">
        <w:t xml:space="preserve"> w terminie nie krótszym niż 10</w:t>
      </w:r>
      <w:r>
        <w:t xml:space="preserve"> dni od dnia przesłania zawiadomienia o wyborze najkorzystniejszej oferty, jeżeli zawiadomienie to zostało przesłane przy użyciu środków komunikacji elektronicznej, albo 1</w:t>
      </w:r>
      <w:r w:rsidR="001D134F">
        <w:t>5</w:t>
      </w:r>
      <w:r>
        <w:t xml:space="preserve"> dni, jeżeli </w:t>
      </w:r>
      <w:r w:rsidR="009A1141">
        <w:t>zostało przesłane w inny sposób (art. 264 ustawy).</w:t>
      </w:r>
      <w:r>
        <w:t xml:space="preserve"> </w:t>
      </w:r>
    </w:p>
    <w:p w14:paraId="147F3CD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704D409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5EB4052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3B374FD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3FF93D2" w14:textId="2EBE5E1B"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w:t>
      </w:r>
      <w:r w:rsidR="001B4D3B">
        <w:t>,</w:t>
      </w:r>
      <w:r w:rsidR="005F37C3">
        <w:t xml:space="preserve"> Zamawiający może dokonać ponownego badania i oceny ofert spośród ofert pozostałych w postępowaniu Wykonawców albo unieważnić postępowanie.</w:t>
      </w:r>
    </w:p>
    <w:p w14:paraId="0ED6C485" w14:textId="77777777" w:rsidR="005F37C3" w:rsidRDefault="005F37C3" w:rsidP="00683850">
      <w:pPr>
        <w:autoSpaceDE w:val="0"/>
        <w:autoSpaceDN w:val="0"/>
        <w:adjustRightInd w:val="0"/>
        <w:spacing w:after="0" w:line="276" w:lineRule="auto"/>
        <w:jc w:val="both"/>
      </w:pPr>
    </w:p>
    <w:p w14:paraId="603DE500"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4187242A" w14:textId="4F72FB86"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Środki ochrony prawnej przysługują Wykonawcy, jeżeli ma lub miał interes w uzyskaniu zamówienia oraz poniósł lub może ponieść szkodę</w:t>
      </w:r>
      <w:r w:rsidR="00D607D4">
        <w:t xml:space="preserve"> </w:t>
      </w:r>
      <w:r w:rsidR="006C1510">
        <w:t>w wyniku naruszenia przez Zamawiającego przepisów pzp</w:t>
      </w:r>
      <w:r w:rsidR="005C5D86">
        <w:t xml:space="preserve"> (Dzia</w:t>
      </w:r>
      <w:r w:rsidR="001B4D3B">
        <w:t>ł IX Środki ochrony prawnej)</w:t>
      </w:r>
      <w:r w:rsidR="006C1510">
        <w:t xml:space="preserve">. </w:t>
      </w:r>
    </w:p>
    <w:p w14:paraId="78834010" w14:textId="77777777" w:rsidR="006C1510" w:rsidRDefault="00473487" w:rsidP="00D667C2">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5E3D99BA" w14:textId="77777777" w:rsidR="006C1510" w:rsidRDefault="00A33BCB" w:rsidP="00D667C2">
      <w:pPr>
        <w:spacing w:after="120"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7C3F4E68"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23AFE3D2" w14:textId="09282A2F"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Odwołanie wnosi się do Prezesa Krajowej Izby Odwoławczej w formie pisemnej albo w formie elektronicznej albo w postaci elektronicznej opatrzone</w:t>
      </w:r>
      <w:r w:rsidR="001B4D3B">
        <w:t>j</w:t>
      </w:r>
      <w:r w:rsidR="006C1510">
        <w:t xml:space="preserve"> podpisem zaufanym. </w:t>
      </w:r>
    </w:p>
    <w:p w14:paraId="2DC3A277"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rsidR="006C1510">
        <w:t xml:space="preserve">za pośrednictwem Prezesa Krajowej Izby Odwoławczej. </w:t>
      </w:r>
    </w:p>
    <w:p w14:paraId="453C8B64"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Szczegółowe informacje dotyczące środków ochrony prawnej określone są w Dziale IX „Środki ochrony prawnej” pzp.</w:t>
      </w:r>
    </w:p>
    <w:p w14:paraId="3EBC6534"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C83489E"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3385AF3D" w14:textId="77777777" w:rsidR="00CD5029" w:rsidRDefault="00CD5029" w:rsidP="00714F6D">
      <w:pPr>
        <w:spacing w:after="0"/>
        <w:jc w:val="both"/>
      </w:pPr>
      <w:r>
        <w:t>Zamawiający informuje, że w przypadku:</w:t>
      </w:r>
    </w:p>
    <w:p w14:paraId="2AA088D5" w14:textId="77777777" w:rsidR="00CD5029" w:rsidRDefault="00CD5029" w:rsidP="00714F6D">
      <w:pPr>
        <w:spacing w:after="0"/>
        <w:jc w:val="both"/>
      </w:pPr>
      <w:r>
        <w:t>- osób fizycznych,</w:t>
      </w:r>
    </w:p>
    <w:p w14:paraId="6BAE2CC4" w14:textId="77777777" w:rsidR="00CD5029" w:rsidRDefault="00CD5029" w:rsidP="00714F6D">
      <w:pPr>
        <w:spacing w:after="0"/>
        <w:jc w:val="both"/>
      </w:pPr>
      <w:r>
        <w:t>- osób fizycznych, prowadzących jednoosobową działalność gospodarczą,</w:t>
      </w:r>
    </w:p>
    <w:p w14:paraId="13F84FCB" w14:textId="77777777" w:rsidR="00CD5029" w:rsidRDefault="00CD5029" w:rsidP="00714F6D">
      <w:pPr>
        <w:spacing w:after="0"/>
        <w:jc w:val="both"/>
      </w:pPr>
      <w:r>
        <w:t>- pełnomocnika Wykonawcy będącego osobą fizyczną,</w:t>
      </w:r>
    </w:p>
    <w:p w14:paraId="3819EA80" w14:textId="77777777" w:rsidR="00CD5029" w:rsidRDefault="00CD5029" w:rsidP="00714F6D">
      <w:pPr>
        <w:spacing w:after="0"/>
        <w:jc w:val="both"/>
      </w:pPr>
      <w:r>
        <w:t>- członka organu zarządzającego Wykonawcy, będącego osobą fizyczną,</w:t>
      </w:r>
    </w:p>
    <w:p w14:paraId="5545FC7A" w14:textId="17053F5D" w:rsidR="00CD5029" w:rsidRDefault="00CD5029" w:rsidP="00CD5029">
      <w:pPr>
        <w:jc w:val="both"/>
      </w:pPr>
      <w:r>
        <w:t>-</w:t>
      </w:r>
      <w:r w:rsidR="00714F6D">
        <w:t xml:space="preserve"> </w:t>
      </w:r>
      <w:r>
        <w:t>osoby fizycznej skierowanej do przygotowania i przeprowadzenia postępowania o udz</w:t>
      </w:r>
      <w:r w:rsidR="004801B0">
        <w:t>ielenie zamówienia publicznego,</w:t>
      </w:r>
      <w:r w:rsidR="00714F6D">
        <w:t xml:space="preserve"> </w:t>
      </w:r>
    </w:p>
    <w:p w14:paraId="387B6069" w14:textId="5C884409" w:rsidR="004801B0" w:rsidRDefault="004801B0" w:rsidP="00CD5029">
      <w:pPr>
        <w:jc w:val="both"/>
      </w:pPr>
      <w:r>
        <w:t>przetwarza dane osobowe, które uzyskał bezpośrednio w toku prowadzonego postępowania.</w:t>
      </w:r>
    </w:p>
    <w:p w14:paraId="702E71C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0D01D76" w14:textId="77777777" w:rsidR="004801B0" w:rsidRDefault="004801B0" w:rsidP="004801B0">
      <w:pPr>
        <w:jc w:val="both"/>
      </w:pPr>
      <w:r>
        <w:t>Zamawiający informuję, że:</w:t>
      </w:r>
    </w:p>
    <w:p w14:paraId="0B0712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294A9DE9"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2E98BC8D"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34863CF3"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1CDCF3F2"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p>
    <w:p w14:paraId="63875132"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3BA2FF1"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8CE3673" w14:textId="77777777" w:rsidR="004801B0" w:rsidRDefault="004801B0" w:rsidP="003C2FD1">
      <w:pPr>
        <w:pStyle w:val="Akapitzlist"/>
        <w:numPr>
          <w:ilvl w:val="0"/>
          <w:numId w:val="3"/>
        </w:numPr>
        <w:spacing w:after="0"/>
        <w:ind w:left="360"/>
        <w:jc w:val="both"/>
      </w:pPr>
      <w:r>
        <w:t>posiada Pani/Pan:</w:t>
      </w:r>
    </w:p>
    <w:p w14:paraId="2A0BA408" w14:textId="77777777" w:rsidR="004801B0" w:rsidRDefault="004801B0" w:rsidP="003C2FD1">
      <w:pPr>
        <w:spacing w:after="0"/>
        <w:ind w:left="360"/>
        <w:jc w:val="both"/>
      </w:pPr>
      <w:r>
        <w:t>· na podstawie art. 15 RODO prawo dostępu do danych osobowych Pani/Pana dotyczących;</w:t>
      </w:r>
    </w:p>
    <w:p w14:paraId="1BA0A0F9" w14:textId="77777777" w:rsidR="004801B0" w:rsidRDefault="004801B0" w:rsidP="003C2FD1">
      <w:pPr>
        <w:spacing w:after="0"/>
        <w:ind w:left="360"/>
        <w:jc w:val="both"/>
      </w:pPr>
      <w:r>
        <w:t>· na podstawie art. 16 RODO prawo do sprostowania Pani/Pana danych osobowych*;</w:t>
      </w:r>
    </w:p>
    <w:p w14:paraId="7C4C30AB"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11F4038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593787F0" w14:textId="77777777" w:rsidR="004801B0" w:rsidRDefault="004801B0" w:rsidP="003C2FD1">
      <w:pPr>
        <w:pStyle w:val="Akapitzlist"/>
        <w:numPr>
          <w:ilvl w:val="0"/>
          <w:numId w:val="3"/>
        </w:numPr>
        <w:spacing w:after="0"/>
        <w:ind w:left="284"/>
        <w:jc w:val="both"/>
      </w:pPr>
      <w:r>
        <w:t>nie przysługuje Pani/Panu:</w:t>
      </w:r>
    </w:p>
    <w:p w14:paraId="4266E9BD" w14:textId="77777777" w:rsidR="004801B0" w:rsidRDefault="004801B0" w:rsidP="003C2FD1">
      <w:pPr>
        <w:spacing w:after="0"/>
        <w:ind w:left="360"/>
        <w:jc w:val="both"/>
      </w:pPr>
      <w:r>
        <w:t>· prawo do usunięcia danych osobowych;</w:t>
      </w:r>
    </w:p>
    <w:p w14:paraId="0121D28D" w14:textId="77777777" w:rsidR="004801B0" w:rsidRDefault="004801B0" w:rsidP="003C2FD1">
      <w:pPr>
        <w:spacing w:after="0"/>
        <w:ind w:left="360"/>
        <w:jc w:val="both"/>
      </w:pPr>
      <w:r>
        <w:t>· prawo do przenoszenia danych osobowych;</w:t>
      </w:r>
    </w:p>
    <w:p w14:paraId="09972B5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76754D9" w14:textId="77777777" w:rsidR="004801B0" w:rsidRDefault="004801B0" w:rsidP="004801B0">
      <w:pPr>
        <w:ind w:left="360"/>
        <w:jc w:val="both"/>
      </w:pPr>
    </w:p>
    <w:p w14:paraId="222EC171" w14:textId="77777777" w:rsidR="004801B0" w:rsidRDefault="004801B0" w:rsidP="004801B0">
      <w:pPr>
        <w:ind w:left="360"/>
        <w:jc w:val="both"/>
      </w:pPr>
      <w:r>
        <w:t>______________________</w:t>
      </w:r>
    </w:p>
    <w:p w14:paraId="76BFDB82"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39550F6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3C2FD1" w:rsidRDefault="00366F9E" w:rsidP="004801B0">
      <w:pPr>
        <w:ind w:left="360"/>
        <w:jc w:val="both"/>
        <w:rPr>
          <w:i/>
          <w:sz w:val="20"/>
        </w:rPr>
      </w:pPr>
    </w:p>
    <w:p w14:paraId="35AAE4E8"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781C6A2D"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75222EA4"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3B6431CE"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DD778CA"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1E41A5C4" w14:textId="77777777" w:rsidR="00E64715" w:rsidRDefault="00E64715" w:rsidP="00ED102C">
      <w:pPr>
        <w:pStyle w:val="Akapitzlist"/>
        <w:numPr>
          <w:ilvl w:val="0"/>
          <w:numId w:val="18"/>
        </w:numPr>
        <w:spacing w:line="276" w:lineRule="auto"/>
        <w:jc w:val="both"/>
      </w:pPr>
      <w:r>
        <w:t>Zamawiający nie przewiduje zawierania umowy ramowej;</w:t>
      </w:r>
    </w:p>
    <w:p w14:paraId="57811583"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0E231D1B"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74205877"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17EECE43"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1BDC1891"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65A73CC7" w14:textId="33F47CCD" w:rsidR="00C401AF" w:rsidRDefault="00C401AF" w:rsidP="00683850">
      <w:pPr>
        <w:spacing w:line="276" w:lineRule="auto"/>
        <w:jc w:val="both"/>
      </w:pPr>
      <w:r>
        <w:t xml:space="preserve">Załącznik Nr 1 do SWZ </w:t>
      </w:r>
      <w:r w:rsidR="00851579">
        <w:t>–</w:t>
      </w:r>
      <w:r>
        <w:t xml:space="preserve"> </w:t>
      </w:r>
      <w:r w:rsidR="00A33BCB">
        <w:t xml:space="preserve">Formularz </w:t>
      </w:r>
      <w:r w:rsidR="005C1B18">
        <w:t>o</w:t>
      </w:r>
      <w:r w:rsidR="00A33BCB">
        <w:t xml:space="preserve">fertowy </w:t>
      </w:r>
    </w:p>
    <w:p w14:paraId="5BD390C8" w14:textId="2711DCE6" w:rsidR="00A33BCB" w:rsidRDefault="00C401AF" w:rsidP="00683850">
      <w:pPr>
        <w:spacing w:line="276" w:lineRule="auto"/>
        <w:jc w:val="both"/>
      </w:pPr>
      <w:r>
        <w:t xml:space="preserve">Załącznik </w:t>
      </w:r>
      <w:r w:rsidR="00F74315">
        <w:t>N</w:t>
      </w:r>
      <w:r>
        <w:t xml:space="preserve">r 2 do SWZ </w:t>
      </w:r>
      <w:r w:rsidR="00851579">
        <w:t>–</w:t>
      </w:r>
      <w:r>
        <w:t xml:space="preserve"> </w:t>
      </w:r>
      <w:r w:rsidR="00A33BCB">
        <w:t>Projektowane postanowienia umowy w sprawie zamówienia publicznego</w:t>
      </w:r>
    </w:p>
    <w:p w14:paraId="5E663779" w14:textId="77777777"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14:paraId="126B0F9A" w14:textId="4C4BACC9"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w:t>
      </w:r>
      <w:r w:rsidR="001151BA">
        <w:t>.</w:t>
      </w:r>
      <w:r w:rsidR="00174568">
        <w:t xml:space="preserve"> 1 ustawy</w:t>
      </w:r>
    </w:p>
    <w:p w14:paraId="304236FA"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7743D8DA"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0E320B4" w14:textId="77777777" w:rsidR="005F37C3" w:rsidRPr="00FF6259" w:rsidRDefault="00174568" w:rsidP="00FF6259">
      <w:pPr>
        <w:spacing w:line="276" w:lineRule="auto"/>
        <w:jc w:val="both"/>
        <w:rPr>
          <w:color w:val="FF0000"/>
        </w:rPr>
      </w:pPr>
      <w:r>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269F8"/>
    <w:rsid w:val="00037012"/>
    <w:rsid w:val="000403CC"/>
    <w:rsid w:val="0004471E"/>
    <w:rsid w:val="000534E3"/>
    <w:rsid w:val="00053CBE"/>
    <w:rsid w:val="00061495"/>
    <w:rsid w:val="00065C2F"/>
    <w:rsid w:val="000764A1"/>
    <w:rsid w:val="00091631"/>
    <w:rsid w:val="000C2A07"/>
    <w:rsid w:val="000C433D"/>
    <w:rsid w:val="000D284F"/>
    <w:rsid w:val="000F35B2"/>
    <w:rsid w:val="000F6120"/>
    <w:rsid w:val="001151BA"/>
    <w:rsid w:val="00125409"/>
    <w:rsid w:val="00133552"/>
    <w:rsid w:val="001569EA"/>
    <w:rsid w:val="001677A3"/>
    <w:rsid w:val="00174568"/>
    <w:rsid w:val="00186024"/>
    <w:rsid w:val="00186A63"/>
    <w:rsid w:val="001A48A5"/>
    <w:rsid w:val="001B4D3B"/>
    <w:rsid w:val="001C402C"/>
    <w:rsid w:val="001C726A"/>
    <w:rsid w:val="001D134F"/>
    <w:rsid w:val="0022263F"/>
    <w:rsid w:val="002447B6"/>
    <w:rsid w:val="00264E08"/>
    <w:rsid w:val="002666D0"/>
    <w:rsid w:val="00275CBB"/>
    <w:rsid w:val="002E661F"/>
    <w:rsid w:val="003002C1"/>
    <w:rsid w:val="00327E22"/>
    <w:rsid w:val="00332935"/>
    <w:rsid w:val="00333B90"/>
    <w:rsid w:val="00334725"/>
    <w:rsid w:val="00343662"/>
    <w:rsid w:val="00353827"/>
    <w:rsid w:val="00356382"/>
    <w:rsid w:val="00366F9E"/>
    <w:rsid w:val="00371663"/>
    <w:rsid w:val="00391648"/>
    <w:rsid w:val="00393B50"/>
    <w:rsid w:val="003A1B40"/>
    <w:rsid w:val="003B3F14"/>
    <w:rsid w:val="003C2FD1"/>
    <w:rsid w:val="003F1B35"/>
    <w:rsid w:val="003F3129"/>
    <w:rsid w:val="003F7D16"/>
    <w:rsid w:val="004208F3"/>
    <w:rsid w:val="00436875"/>
    <w:rsid w:val="0044650A"/>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C2537"/>
    <w:rsid w:val="007C2C9A"/>
    <w:rsid w:val="007D369A"/>
    <w:rsid w:val="007D4ABC"/>
    <w:rsid w:val="007F31FA"/>
    <w:rsid w:val="0080658E"/>
    <w:rsid w:val="0081141F"/>
    <w:rsid w:val="008177F7"/>
    <w:rsid w:val="008244A9"/>
    <w:rsid w:val="00851579"/>
    <w:rsid w:val="00861E21"/>
    <w:rsid w:val="00871B9A"/>
    <w:rsid w:val="008B181A"/>
    <w:rsid w:val="008C1611"/>
    <w:rsid w:val="008C6445"/>
    <w:rsid w:val="00917C70"/>
    <w:rsid w:val="009323F9"/>
    <w:rsid w:val="00934C7A"/>
    <w:rsid w:val="00942C1A"/>
    <w:rsid w:val="00954CF2"/>
    <w:rsid w:val="009565D5"/>
    <w:rsid w:val="00973DB4"/>
    <w:rsid w:val="00974821"/>
    <w:rsid w:val="0099362C"/>
    <w:rsid w:val="00994C51"/>
    <w:rsid w:val="009A1141"/>
    <w:rsid w:val="009A2386"/>
    <w:rsid w:val="009B389D"/>
    <w:rsid w:val="009C225A"/>
    <w:rsid w:val="009C365F"/>
    <w:rsid w:val="00A22BF4"/>
    <w:rsid w:val="00A3169A"/>
    <w:rsid w:val="00A33BCB"/>
    <w:rsid w:val="00A3532F"/>
    <w:rsid w:val="00A43BB1"/>
    <w:rsid w:val="00A47556"/>
    <w:rsid w:val="00A63201"/>
    <w:rsid w:val="00A80D42"/>
    <w:rsid w:val="00A9574D"/>
    <w:rsid w:val="00AB0F62"/>
    <w:rsid w:val="00AB70A0"/>
    <w:rsid w:val="00AE5401"/>
    <w:rsid w:val="00B040CA"/>
    <w:rsid w:val="00B15884"/>
    <w:rsid w:val="00B34B17"/>
    <w:rsid w:val="00B4011C"/>
    <w:rsid w:val="00B55B89"/>
    <w:rsid w:val="00B97F26"/>
    <w:rsid w:val="00BA7E48"/>
    <w:rsid w:val="00BB2B1E"/>
    <w:rsid w:val="00BB44BF"/>
    <w:rsid w:val="00BB4F9B"/>
    <w:rsid w:val="00BC323E"/>
    <w:rsid w:val="00BE168E"/>
    <w:rsid w:val="00BE5C53"/>
    <w:rsid w:val="00BF7D68"/>
    <w:rsid w:val="00C0012C"/>
    <w:rsid w:val="00C06538"/>
    <w:rsid w:val="00C06679"/>
    <w:rsid w:val="00C401AF"/>
    <w:rsid w:val="00C4411C"/>
    <w:rsid w:val="00C44246"/>
    <w:rsid w:val="00C455A7"/>
    <w:rsid w:val="00C50770"/>
    <w:rsid w:val="00C5771A"/>
    <w:rsid w:val="00C73B5E"/>
    <w:rsid w:val="00C8543B"/>
    <w:rsid w:val="00C903DC"/>
    <w:rsid w:val="00C91A9C"/>
    <w:rsid w:val="00C9337A"/>
    <w:rsid w:val="00CC6DCD"/>
    <w:rsid w:val="00CD5029"/>
    <w:rsid w:val="00D07115"/>
    <w:rsid w:val="00D34680"/>
    <w:rsid w:val="00D5400D"/>
    <w:rsid w:val="00D607D4"/>
    <w:rsid w:val="00D661E0"/>
    <w:rsid w:val="00D667C2"/>
    <w:rsid w:val="00D82B89"/>
    <w:rsid w:val="00D863E1"/>
    <w:rsid w:val="00DA0C50"/>
    <w:rsid w:val="00DA18A0"/>
    <w:rsid w:val="00DB23AD"/>
    <w:rsid w:val="00DE6B19"/>
    <w:rsid w:val="00E24E79"/>
    <w:rsid w:val="00E30299"/>
    <w:rsid w:val="00E31DEA"/>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6D03-8DF1-4203-B5B2-1D9C17CF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19</Pages>
  <Words>7128</Words>
  <Characters>42768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48</cp:revision>
  <cp:lastPrinted>2021-03-17T10:53:00Z</cp:lastPrinted>
  <dcterms:created xsi:type="dcterms:W3CDTF">2021-03-17T10:10:00Z</dcterms:created>
  <dcterms:modified xsi:type="dcterms:W3CDTF">2021-08-16T09:44:00Z</dcterms:modified>
</cp:coreProperties>
</file>