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021" w:rsidRDefault="00787658" w:rsidP="00787658">
      <w:r>
        <w:t>PAKIET NR 1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 xml:space="preserve">Podnośnik jezdny AKS </w:t>
            </w:r>
            <w:proofErr w:type="spellStart"/>
            <w:r>
              <w:rPr>
                <w:rFonts w:ascii="Times New Roman" w:hAnsi="Times New Roman"/>
                <w:b/>
                <w:bCs/>
              </w:rPr>
              <w:t>Clino</w:t>
            </w:r>
            <w:proofErr w:type="spellEnd"/>
            <w:r>
              <w:rPr>
                <w:rFonts w:ascii="Times New Roman" w:hAnsi="Times New Roman"/>
                <w:b/>
                <w:bCs/>
              </w:rPr>
              <w:t xml:space="preserve"> XL do 185 kg – 3 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na wysokości 600 mm = 675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Zasięg z wysokości podstawy 675mm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 podstawy przy rozpiętości nóg podstawy 700mm = 313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tylnej 100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rolki przedniej 75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Ogólna wysokość 1290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Średnica zakrętu 1443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Długość podstawy 1273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Wysokość wysięgnika 2075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wysokość wysięgnika 821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Zasięg podnoszenia 1204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Min. zew. Szerokość 621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Max. wew. Szerokość  944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Szer. Przy maks. Zasięgu wysięgnika 866 mm.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Szerokość 520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podstawy 120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Prześwit podstawy 70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Szer. Uchwytu 452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najwyższym położeniu 607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do końcówki wysięgnika przy najniższym położeniu 341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Min. </w:t>
            </w:r>
            <w:proofErr w:type="spellStart"/>
            <w:r>
              <w:rPr>
                <w:rFonts w:ascii="Times New Roman" w:hAnsi="Times New Roman"/>
              </w:rPr>
              <w:t>odl</w:t>
            </w:r>
            <w:proofErr w:type="spellEnd"/>
            <w:r>
              <w:rPr>
                <w:rFonts w:ascii="Times New Roman" w:hAnsi="Times New Roman"/>
              </w:rPr>
              <w:t>. Od ściany przy maksymalnym wychyleniu 230 mm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Wygodny pilot z dużymi przyciskami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Bateria: 24V DC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5676C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Liczba podnoszeń na jednym ładowaniu: około 25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3E57AA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3E57AA">
              <w:rPr>
                <w:rFonts w:ascii="Times New Roman" w:hAnsi="Times New Roman"/>
              </w:rPr>
              <w:t>Czas podnoszenia przy maksymalnym obciążeniu: ok. 80 sekund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p w:rsidR="00787658" w:rsidRDefault="00787658" w:rsidP="00787658"/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CE1F7D" w:rsidRDefault="00CE1F7D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tbl>
      <w:tblPr>
        <w:tblpPr w:leftFromText="141" w:rightFromText="141" w:vertAnchor="page" w:horzAnchor="margin" w:tblpY="2006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CE1F7D" w:rsidRPr="001823B1" w:rsidTr="00CE1F7D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520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462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462"/>
        </w:trPr>
        <w:tc>
          <w:tcPr>
            <w:tcW w:w="568" w:type="dxa"/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CE1F7D" w:rsidRPr="001823B1" w:rsidTr="00CE1F7D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E1F7D" w:rsidRPr="001823B1" w:rsidRDefault="00CE1F7D" w:rsidP="00CE1F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Pr="003F7724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787658" w:rsidRPr="003F7724" w:rsidRDefault="00787658" w:rsidP="0078765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787658" w:rsidRPr="00555E1C" w:rsidRDefault="00787658" w:rsidP="00787658">
      <w:pPr>
        <w:rPr>
          <w:rFonts w:ascii="Times New Roman" w:hAnsi="Times New Roman"/>
        </w:rPr>
      </w:pPr>
    </w:p>
    <w:p w:rsidR="00787658" w:rsidRDefault="00787658" w:rsidP="00787658"/>
    <w:p w:rsidR="00787658" w:rsidRDefault="00787658" w:rsidP="00787658"/>
    <w:p w:rsidR="00787658" w:rsidRDefault="00787658" w:rsidP="00787658"/>
    <w:p w:rsidR="00787658" w:rsidRDefault="00787658" w:rsidP="00787658">
      <w:r>
        <w:lastRenderedPageBreak/>
        <w:t>PAKIET NR 2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Pr="00616AB1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 w:rsidRPr="00616AB1">
              <w:rPr>
                <w:rFonts w:ascii="Times New Roman" w:hAnsi="Times New Roman"/>
                <w:b/>
                <w:bCs/>
              </w:rPr>
              <w:t>Szafa na chemikalia Comfort CS 104-A, z drzwiami skrzydłowymi i 4 wannami wysuwanymi</w:t>
            </w:r>
            <w:r>
              <w:rPr>
                <w:rFonts w:ascii="Times New Roman" w:hAnsi="Times New Roman"/>
                <w:b/>
                <w:bCs/>
              </w:rPr>
              <w:t xml:space="preserve"> – 3 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Do bezpiecznego i przepisowego składowania substancji niebezpiecznych dla wód, niezapalnych cieczy i trucizn w pomieszczeniach roboczych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z cienkiej blachy stalowej pokryty wytrzymałym wysokogatunkowym lakierem strukturalnym w kolorze niebieskim gencjanowym (RAL 5010), drzwi jasnoszare (RAL 7035)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Stała wymiana powietrza przez kratki w drzwiach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Drzwi skrzydłowe z zamkiem bezpieczeństwa i zakrytymi dźwigniami zamykającymi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Wyposażona w 3 wysuwane, cynkowane wanny wychwytowe (o wysokości regulowanej co 25 mm) i wysuwaną cynkowaną wannę podłogową (wg Stawa-R)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Zintegrowana zabezpieczająca blokada uniemożliwia równoczesne wysunięcie kilku wanien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Korpus i drzwi jasnoszare (RAL 7035)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616AB1">
              <w:rPr>
                <w:rFonts w:ascii="Times New Roman" w:hAnsi="Times New Roman"/>
              </w:rPr>
              <w:t>Pełne wyposażenie w wysuwane, cynkowane wanny wychwytowe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Wyposażenie 3 wanny wysuwane, 1 podłogowa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Wersja drzwi –  2- skrzydłowe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drzwi – dwustronne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drzwi – szary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Kolor korpusu – szare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Szerokość zewn. 1200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autoSpaceDE w:val="0"/>
              <w:jc w:val="both"/>
              <w:rPr>
                <w:rFonts w:ascii="Times New Roman" w:eastAsia="Georgia" w:hAnsi="Times New Roman" w:cs="Georgia"/>
              </w:rPr>
            </w:pPr>
            <w:r>
              <w:rPr>
                <w:rFonts w:ascii="Times New Roman" w:eastAsia="Georgia" w:hAnsi="Times New Roman" w:cs="Georgia"/>
              </w:rPr>
              <w:t>Głębokość zewn. 500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Wysokość zewn. 1950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Szerokość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1125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Głębokość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 xml:space="preserve">. 470 mm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Wysokość </w:t>
            </w:r>
            <w:proofErr w:type="spellStart"/>
            <w:r>
              <w:rPr>
                <w:rFonts w:ascii="Times New Roman" w:hAnsi="Times New Roman"/>
              </w:rPr>
              <w:t>wewn</w:t>
            </w:r>
            <w:proofErr w:type="spellEnd"/>
            <w:r>
              <w:rPr>
                <w:rFonts w:ascii="Times New Roman" w:hAnsi="Times New Roman"/>
              </w:rPr>
              <w:t>. 1810 mm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Nośność wanny wysuwanej 45 kg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Poj. Wychwytu wanny podłogowej 30 l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Typ CS 104-A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Materiał blacha stalowa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Rodzaj szafy – szafa wysoka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Media do składowania – ciecze niebezpieczne dla wód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A0744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Masa 109 kg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tbl>
      <w:tblPr>
        <w:tblpPr w:leftFromText="141" w:rightFromText="141" w:vertAnchor="page" w:horzAnchor="margin" w:tblpY="3434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C7A90" w:rsidRPr="001823B1" w:rsidTr="003C7A9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3C7A90" w:rsidRDefault="003C7A90" w:rsidP="00787658"/>
    <w:p w:rsidR="003C7A90" w:rsidRPr="003F7724" w:rsidRDefault="003C7A90" w:rsidP="003C7A90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3C7A90" w:rsidRPr="003F7724" w:rsidRDefault="003C7A90" w:rsidP="003C7A90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3C7A90" w:rsidRPr="003F7724" w:rsidRDefault="003C7A90" w:rsidP="003C7A90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3C7A90" w:rsidRDefault="003C7A90" w:rsidP="00787658"/>
    <w:p w:rsidR="003C7A90" w:rsidRDefault="003C7A90" w:rsidP="00787658"/>
    <w:p w:rsidR="00787658" w:rsidRDefault="00787658" w:rsidP="00787658">
      <w:r>
        <w:t>PAKIET NR 3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Urządzenie do dekontaminacji poprzez zamgławianie – AIRDECON 200 – 1szt.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272CA8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Urządzenie fabrycznie nowe, nie demonstracyjne, nie powystawowe, rok produkcji min. 201</w:t>
            </w:r>
            <w:r>
              <w:rPr>
                <w:rFonts w:cs="Times New Roman"/>
                <w:sz w:val="22"/>
                <w:szCs w:val="22"/>
                <w:lang w:val="pl-PL"/>
              </w:rPr>
              <w:t>8</w:t>
            </w: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 r., wolne od wad fabrycznych.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System do </w:t>
            </w:r>
            <w:proofErr w:type="spellStart"/>
            <w:r w:rsidRPr="00654C5F">
              <w:rPr>
                <w:rFonts w:ascii="Times New Roman" w:hAnsi="Times New Roman"/>
              </w:rPr>
              <w:t>Sporobójczej</w:t>
            </w:r>
            <w:proofErr w:type="spellEnd"/>
            <w:r w:rsidRPr="00654C5F">
              <w:rPr>
                <w:rFonts w:ascii="Times New Roman" w:hAnsi="Times New Roman"/>
              </w:rPr>
              <w:t xml:space="preserve"> dezynfekcji wysokiego poziomu, powierzchni wyrobów medycznych w tym powierzchni trudnodostępnych.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musi umożliwiać wybór pracy pomiędzy dekontaminacją </w:t>
            </w:r>
            <w:proofErr w:type="spellStart"/>
            <w:r w:rsidRPr="00654C5F">
              <w:rPr>
                <w:rFonts w:ascii="Times New Roman" w:hAnsi="Times New Roman"/>
              </w:rPr>
              <w:t>peroksonem</w:t>
            </w:r>
            <w:proofErr w:type="spellEnd"/>
            <w:r w:rsidRPr="00654C5F">
              <w:rPr>
                <w:rFonts w:ascii="Times New Roman" w:hAnsi="Times New Roman"/>
              </w:rPr>
              <w:t xml:space="preserve"> (O3 + H2O2) generowanym automatycznie przez urządzenie a nadtlenkiem wodoru (H2O2)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F46D5A">
              <w:rPr>
                <w:rFonts w:ascii="Times New Roman" w:hAnsi="Times New Roman"/>
              </w:rPr>
              <w:t xml:space="preserve">Urządzenie redukujące wszystkie patogenne mikroorganizmy oraz spory bakterii w każdym cyklu </w:t>
            </w:r>
            <w:r w:rsidRPr="00F46D5A">
              <w:rPr>
                <w:rFonts w:ascii="Times New Roman" w:hAnsi="Times New Roman"/>
                <w:b/>
              </w:rPr>
              <w:t xml:space="preserve">przy zastosowaniu badań według normy NFT 72-281 2009 (lub procedury równoważnej do określonej </w:t>
            </w:r>
            <w:proofErr w:type="spellStart"/>
            <w:r w:rsidRPr="00F46D5A">
              <w:rPr>
                <w:rFonts w:ascii="Times New Roman" w:hAnsi="Times New Roman"/>
                <w:b/>
              </w:rPr>
              <w:t>ww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normą)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46D5A" w:rsidRDefault="00787658" w:rsidP="00CE1F7D">
            <w:pPr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Skuteczność działania </w:t>
            </w:r>
            <w:proofErr w:type="spellStart"/>
            <w:r w:rsidRPr="00F46D5A">
              <w:rPr>
                <w:rFonts w:ascii="Times New Roman" w:hAnsi="Times New Roman"/>
              </w:rPr>
              <w:t>mikrobójczego</w:t>
            </w:r>
            <w:proofErr w:type="spellEnd"/>
            <w:r w:rsidRPr="00F46D5A">
              <w:rPr>
                <w:rFonts w:ascii="Times New Roman" w:hAnsi="Times New Roman"/>
              </w:rPr>
              <w:t xml:space="preserve"> ustalona przy zastosowaniu </w:t>
            </w:r>
            <w:r w:rsidRPr="00F46D5A">
              <w:rPr>
                <w:rFonts w:ascii="Times New Roman" w:hAnsi="Times New Roman"/>
                <w:b/>
              </w:rPr>
              <w:t xml:space="preserve">badań według normy NFT 72-281 2009 (lub procedury równoważnej do określonej </w:t>
            </w:r>
            <w:proofErr w:type="spellStart"/>
            <w:r w:rsidRPr="00F46D5A">
              <w:rPr>
                <w:rFonts w:ascii="Times New Roman" w:hAnsi="Times New Roman"/>
                <w:b/>
              </w:rPr>
              <w:t>ww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normą)</w:t>
            </w:r>
            <w:r w:rsidRPr="00F46D5A">
              <w:rPr>
                <w:rFonts w:ascii="Times New Roman" w:hAnsi="Times New Roman"/>
              </w:rPr>
              <w:t>, była na poziomie: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Bakterie: redukcja ≥ 5 log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Grzyby/drożdże: redukcja ≥ 4 log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Spory:– redukcja ≥ 3 log</w:t>
            </w: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  <w:bCs/>
              </w:rPr>
            </w:pP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Zestawienie parametrów ocenianych: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color w:val="00B0F0"/>
              </w:rPr>
            </w:pPr>
            <w:r w:rsidRPr="00F46D5A">
              <w:rPr>
                <w:rFonts w:ascii="Times New Roman" w:hAnsi="Times New Roman"/>
                <w:b/>
              </w:rPr>
              <w:t>Wartość redukcji drobnoustrojów określona z dokładnością do dwóch miejsc po przecinku.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46D5A">
              <w:rPr>
                <w:rFonts w:ascii="Times New Roman" w:hAnsi="Times New Roman"/>
                <w:b/>
                <w:u w:val="single"/>
              </w:rPr>
              <w:t xml:space="preserve">Bakterie: 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Staphylococcus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aureus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: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Pseudomonas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aeruginosa</w:t>
            </w:r>
            <w:proofErr w:type="spellEnd"/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redukcja  ≥ 7,3 log </w:t>
            </w: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Enterococcus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hirae</w:t>
            </w:r>
            <w:proofErr w:type="spellEnd"/>
            <w:r w:rsidRPr="00F46D5A">
              <w:rPr>
                <w:rFonts w:ascii="Times New Roman" w:hAnsi="Times New Roman"/>
                <w:b/>
              </w:rPr>
              <w:t>: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5 - 6,8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6,9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Escherichia coli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bakterii: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24D13">
              <w:rPr>
                <w:rFonts w:ascii="Times New Roman" w:hAnsi="Times New Roman"/>
                <w:b/>
              </w:rPr>
              <w:t>Acinetobacter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</w:rPr>
              <w:t>baumannii</w:t>
            </w:r>
            <w:proofErr w:type="spellEnd"/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3478CC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MRSA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24D13">
              <w:rPr>
                <w:rFonts w:ascii="Times New Roman" w:hAnsi="Times New Roman"/>
                <w:b/>
                <w:u w:val="single"/>
              </w:rPr>
              <w:t xml:space="preserve">Grzyby/ drożdże: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Aspergillus </w:t>
            </w:r>
            <w:proofErr w:type="spellStart"/>
            <w:r w:rsidRPr="00F24D13">
              <w:rPr>
                <w:rFonts w:ascii="Times New Roman" w:hAnsi="Times New Roman"/>
                <w:b/>
              </w:rPr>
              <w:t>niger</w:t>
            </w:r>
            <w:proofErr w:type="spellEnd"/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4 – 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6,1 – 6,6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6,7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Candida </w:t>
            </w:r>
            <w:proofErr w:type="spellStart"/>
            <w:r w:rsidRPr="00F24D13">
              <w:rPr>
                <w:rFonts w:ascii="Times New Roman" w:hAnsi="Times New Roman"/>
                <w:b/>
              </w:rPr>
              <w:t>albicans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4 - 6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6,1 – 6,6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6,7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24D13">
              <w:rPr>
                <w:rFonts w:ascii="Times New Roman" w:hAnsi="Times New Roman"/>
                <w:b/>
                <w:u w:val="single"/>
              </w:rPr>
              <w:t xml:space="preserve">Spory: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24D13">
              <w:rPr>
                <w:rFonts w:ascii="Times New Roman" w:hAnsi="Times New Roman"/>
                <w:b/>
                <w:u w:val="single"/>
              </w:rPr>
              <w:t>Bacillus</w:t>
            </w:r>
            <w:proofErr w:type="spellEnd"/>
            <w:r w:rsidRPr="00F24D1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  <w:u w:val="single"/>
              </w:rPr>
              <w:t>subtilis</w:t>
            </w:r>
            <w:proofErr w:type="spellEnd"/>
            <w:r w:rsidRPr="00F24D13">
              <w:rPr>
                <w:rFonts w:ascii="Times New Roman" w:hAnsi="Times New Roman"/>
                <w:b/>
                <w:u w:val="single"/>
              </w:rPr>
              <w:t xml:space="preserve">,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spor: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Clostridium </w:t>
            </w:r>
            <w:proofErr w:type="spellStart"/>
            <w:r w:rsidRPr="00F24D13">
              <w:rPr>
                <w:rFonts w:ascii="Times New Roman" w:hAnsi="Times New Roman"/>
                <w:b/>
              </w:rPr>
              <w:t>Difficile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prątków:</w:t>
            </w:r>
            <w:r w:rsidRPr="00F24D13">
              <w:rPr>
                <w:rFonts w:ascii="Times New Roman" w:hAnsi="Times New Roman"/>
              </w:rPr>
              <w:t xml:space="preserve">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24D13">
              <w:rPr>
                <w:rFonts w:ascii="Times New Roman" w:hAnsi="Times New Roman"/>
                <w:b/>
              </w:rPr>
              <w:t>Mycobacterium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</w:rPr>
              <w:t>terrae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6,5 log </w:t>
            </w:r>
          </w:p>
          <w:p w:rsidR="00787658" w:rsidRPr="003478CC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24D13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Wymagane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dołączenie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oferty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skuteczności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przy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zastosowaniu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według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normy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NFT 72-281 2009(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lub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procedury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równoważnej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określonej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ww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normą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),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połączeniu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zaproponowanym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poz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. 24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środkiem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dezynfekcyjnym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stosowanym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urządzeniu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(w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języku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polskim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).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Wymaga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aby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odnosiły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ściśle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preparatu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oraz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urządzenia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nazwie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handlowej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zawartej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ofercie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24D13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Czas kontaktu (dezynfekcja właściwa)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po etapie napełnienia pomieszczenia nadtlenkiem wodoru,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 nie może przekraczać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60 minut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. Dla przykładu proces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dezynfekcji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 pomieszczenia o kubaturze 30 m3 nie powinien przekraczać 90 minut (do 30 minut faza natrysku H2O2 + 60 minut czas kontaktu)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64F93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Proces dekontaminacji bezpieczny dla użytkownika (automatyczne przerwanie procesu dekontaminacji w monecie wykrycia przez urządzenie ruchu osób postronnych) , ekranów LCD, urządzeń elektryc</w:t>
            </w:r>
            <w:r>
              <w:rPr>
                <w:rFonts w:cs="Times New Roman"/>
                <w:sz w:val="22"/>
                <w:szCs w:val="22"/>
                <w:lang w:val="pl-PL"/>
              </w:rPr>
              <w:t>znych, wyrobów medycznych w tym</w:t>
            </w: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 inkubatorów, materacy.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tworzy suchą mgłę, nie skrapla się na </w:t>
            </w:r>
            <w:r>
              <w:rPr>
                <w:rFonts w:ascii="Times New Roman" w:hAnsi="Times New Roman"/>
              </w:rPr>
              <w:t>d</w:t>
            </w:r>
            <w:r w:rsidRPr="00654C5F">
              <w:rPr>
                <w:rFonts w:ascii="Times New Roman" w:hAnsi="Times New Roman"/>
              </w:rPr>
              <w:t>ekontaminowanych powierzchniach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Powierzchni nie trzeba myć ani dezynfekować po procesie dekontaminacji.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łączy się przez </w:t>
            </w:r>
            <w:proofErr w:type="spellStart"/>
            <w:r w:rsidRPr="00654C5F">
              <w:rPr>
                <w:rFonts w:ascii="Times New Roman" w:hAnsi="Times New Roman"/>
              </w:rPr>
              <w:t>Wi</w:t>
            </w:r>
            <w:proofErr w:type="spellEnd"/>
            <w:r w:rsidRPr="00654C5F">
              <w:rPr>
                <w:rFonts w:ascii="Times New Roman" w:hAnsi="Times New Roman"/>
              </w:rPr>
              <w:t xml:space="preserve"> Fi z tabletem, telefonem, komputerem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wyposażone w czujnik ruchu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Możliwość podłączenia urządzenia do</w:t>
            </w:r>
            <w:r>
              <w:rPr>
                <w:rFonts w:ascii="Times New Roman" w:hAnsi="Times New Roman"/>
              </w:rPr>
              <w:t xml:space="preserve"> komputera przez kabel sieciowy.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wyposażone w fabrycznie zamontowane kółka jezdne oraz ergonomiczną rączkę pozwalające na swobodne przemieszczanie.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Urządzenie z elektronicznym śledzeniem, walidacją oraz archiwizacją historii </w:t>
            </w:r>
            <w:r>
              <w:rPr>
                <w:rFonts w:cs="Times New Roman"/>
                <w:sz w:val="22"/>
                <w:szCs w:val="22"/>
                <w:lang w:val="pl-PL"/>
              </w:rPr>
              <w:t>całego procesu.</w:t>
            </w:r>
            <w:r w:rsidRPr="005D5D2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116374">
              <w:rPr>
                <w:rFonts w:cs="Times New Roman"/>
                <w:sz w:val="22"/>
                <w:szCs w:val="22"/>
                <w:lang w:val="pl-PL"/>
              </w:rPr>
              <w:t>Każdy raport musi zawierać</w:t>
            </w:r>
            <w:r w:rsidRPr="00116374">
              <w:rPr>
                <w:rFonts w:cs="Times New Roman"/>
                <w:sz w:val="22"/>
                <w:szCs w:val="22"/>
              </w:rPr>
              <w:t xml:space="preserve">: Data i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godzina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rozpoczęcia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zakończenia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Numer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cyklu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Ilość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zużytego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środka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dezynfekcyjnego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numer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seryjny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środka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dezynfekcyjnego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jego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temperatura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wilgotność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powietrza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pomieszczaniu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trakcie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b/>
                <w:sz w:val="22"/>
                <w:szCs w:val="22"/>
              </w:rPr>
              <w:t>Identyfikator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b/>
                <w:sz w:val="22"/>
                <w:szCs w:val="22"/>
              </w:rPr>
              <w:t>operatora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włączającego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Urządzenie o wymiarach: +/- 5 cm/kg :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Szerokość: 40 cm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Wysokość: 107 cm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Głębokość: 43 cm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Waga: 40 kg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z programowaniem i pamięcią pomieszczeń (wystarczy raz zmierzyć pomieszczenie i wpisać dane)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pamiętające min. 100 operatorów upoważnionych do obsługi urządzenia.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z programatorem dnia i czasu - urządzenie samo się włączy o konkretnej godzinie i wybranym dniu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Default="00787658" w:rsidP="00CE1F7D">
            <w:pPr>
              <w:rPr>
                <w:rFonts w:ascii="Times New Roman" w:hAnsi="Times New Roman"/>
              </w:rPr>
            </w:pPr>
            <w:r w:rsidRPr="00654C5F">
              <w:rPr>
                <w:rFonts w:ascii="Times New Roman" w:hAnsi="Times New Roman"/>
              </w:rPr>
              <w:t>Urządzenie wyposażone w mobilny katalizator powietrza,</w:t>
            </w:r>
            <w:r>
              <w:rPr>
                <w:rFonts w:ascii="Times New Roman" w:hAnsi="Times New Roman"/>
              </w:rPr>
              <w:t xml:space="preserve"> filtrujący cząstki wielkości </w:t>
            </w:r>
            <w:r w:rsidRPr="00F24D13">
              <w:rPr>
                <w:rFonts w:ascii="Times New Roman" w:hAnsi="Times New Roman"/>
              </w:rPr>
              <w:t>≤</w:t>
            </w:r>
            <w:r w:rsidRPr="00654C5F">
              <w:rPr>
                <w:rFonts w:ascii="Times New Roman" w:hAnsi="Times New Roman"/>
              </w:rPr>
              <w:t xml:space="preserve"> 0,007 mikrona, 9-stopniowy filtr pochłaniający lotne związki organiczne oraz mikroorganizmy, zdalnie sterowany, posiadający trzy tryby pracy do wyboru, sygnalizujący konieczność wymiany filtra, waga 15 kg z tolerancją +/-2kg,  wydajność na poziomie 300 m3/h, możliwość ciągłej pracy 24/7</w:t>
            </w:r>
            <w:r>
              <w:rPr>
                <w:rFonts w:ascii="Times New Roman" w:hAnsi="Times New Roman"/>
              </w:rPr>
              <w:t>.</w:t>
            </w:r>
          </w:p>
          <w:p w:rsidR="00787658" w:rsidRPr="00C12529" w:rsidRDefault="00787658" w:rsidP="00CE1F7D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Filtr w katalizatorze posiada zdolność wychwytywania </w:t>
            </w:r>
            <w:r w:rsidRPr="005D5D24">
              <w:rPr>
                <w:rFonts w:ascii="Times New Roman" w:hAnsi="Times New Roman"/>
                <w:b/>
                <w:color w:val="000000" w:themeColor="text1"/>
              </w:rPr>
              <w:br/>
              <w:t>i redukcji jednostek tworzących kolonie (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cfu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) mikroorganizmów w tym bakterii 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Bacillus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subtilis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o co najmniej 98% potwierdzone raportem badań (w języku polskim) wykonanych przez niezależne laboratorium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5D5D24">
              <w:rPr>
                <w:rFonts w:ascii="Times New Roman" w:hAnsi="Times New Roman"/>
                <w:b/>
                <w:color w:val="000000" w:themeColor="text1"/>
              </w:rPr>
              <w:t>Podać pełną nazwę zaoferowanego urządzenia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Możliwość zastosowania walidowanych z systemem pasków testowych sprawdzających skuteczność procesu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z elektronicznym czytnikiem kodów z dedykowanych kanistrów z środkiem dezynfekcyjnym </w:t>
            </w:r>
            <w:r>
              <w:rPr>
                <w:rFonts w:ascii="Times New Roman" w:hAnsi="Times New Roman"/>
              </w:rPr>
              <w:t>zaczytującym</w:t>
            </w:r>
            <w:r w:rsidRPr="00654C5F">
              <w:rPr>
                <w:rFonts w:ascii="Times New Roman" w:hAnsi="Times New Roman"/>
              </w:rPr>
              <w:t>: datę ważności, nr seryjny, ilości pozostałego czynnika w pojemnikach. Automatyczna blokada zabezpieczająca przed uruchomieniem procesu w przypadku braku wystarczającej ilości czynnika dezynfekującego.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Wsparcie techniczne - online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Dekontaminacja pomieszczeń o kubaturze: min 300 m3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Środek  do dezynfekcji wysokiego poziomu na bazie 7,5% nadtlenku wodoru, kompatybilny z urządzeniem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posiadający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skuteczności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mikrobójczej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zgodnie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następującymi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normami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Bakterie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 14561: Staphylococcus aureus, Pseudomonas aeruginosa, Enterococcus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hirae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EN13727: Staphylococcus aureus, Pseudomonas aeruginosa, Enterococcus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hirae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 1040: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Pseudomonas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aeruginosa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Staphylococcus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aureus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Grzyby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 14562: Aspergillus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brasiliensis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albicans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EN13624: Aspergillus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brasiliensis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albicans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Prątki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 14563: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terrae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avium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EN14348: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terrae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avium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Wirusy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>EN14476: Poliovirus, Adenovirus, Murine norovirus, WZW B, WZW C, HIV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Spory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EN14347: Clostridium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difficile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Bacillus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subtilis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>EN13704: Clostridium difficile R027, Clostridium difficile, Bacillus subtilis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 xml:space="preserve">Podać nazwę zaoferowanego preparatu: </w:t>
            </w:r>
          </w:p>
          <w:p w:rsidR="00787658" w:rsidRPr="00320492" w:rsidRDefault="00787658" w:rsidP="00CE1F7D">
            <w:pPr>
              <w:pStyle w:val="Standard"/>
              <w:snapToGrid w:val="0"/>
              <w:rPr>
                <w:b/>
                <w:bCs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 xml:space="preserve">Wymagane dołączenie do oferty badań potwierdzających spełnienie norm w języku polskim.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Spełnia wszystkie europejskie standardy bezpieczeństwa: NF EN 61010-1, 2004/108/EC,CEI 61000-4-2, CEI 61000-4-3, CEI 61000-4-4 , CEI 61000-4-5, CEI 61000-4-6, CEI 61000-4-11, CEI 61000-3-2, CEI 61000-3-3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tbl>
      <w:tblPr>
        <w:tblpPr w:leftFromText="141" w:rightFromText="141" w:vertAnchor="page" w:horzAnchor="margin" w:tblpY="364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3C7A90" w:rsidRPr="001823B1" w:rsidTr="003C7A90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520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  <w:tr w:rsidR="003C7A90" w:rsidRPr="001823B1" w:rsidTr="003C7A90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C7A90" w:rsidRPr="001823B1" w:rsidRDefault="003C7A90" w:rsidP="003C7A90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p w:rsidR="00787658" w:rsidRDefault="00787658" w:rsidP="00787658"/>
    <w:p w:rsidR="00787658" w:rsidRDefault="00787658" w:rsidP="00787658"/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Pr="003F7724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787658" w:rsidRPr="003F7724" w:rsidRDefault="00787658" w:rsidP="0078765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787658" w:rsidRDefault="00787658" w:rsidP="00787658"/>
    <w:p w:rsidR="00787658" w:rsidRDefault="00787658" w:rsidP="00787658">
      <w:r>
        <w:t>PAKIET NR 4</w:t>
      </w:r>
    </w:p>
    <w:tbl>
      <w:tblPr>
        <w:tblW w:w="10065" w:type="dxa"/>
        <w:tblInd w:w="-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  <w:tblHeader/>
        </w:trPr>
        <w:tc>
          <w:tcPr>
            <w:tcW w:w="568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L.p.</w:t>
            </w:r>
          </w:p>
        </w:tc>
        <w:tc>
          <w:tcPr>
            <w:tcW w:w="5386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wymagany</w:t>
            </w:r>
          </w:p>
        </w:tc>
        <w:tc>
          <w:tcPr>
            <w:tcW w:w="2552" w:type="dxa"/>
            <w:tcBorders>
              <w:bottom w:val="single" w:sz="6" w:space="0" w:color="auto"/>
            </w:tcBorders>
            <w:shd w:val="clear" w:color="auto" w:fill="FFFFF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b/>
                <w:bCs/>
              </w:rPr>
            </w:pPr>
            <w:r w:rsidRPr="001823B1">
              <w:rPr>
                <w:rFonts w:ascii="Times New Roman" w:hAnsi="Times New Roman"/>
                <w:b/>
                <w:bCs/>
              </w:rPr>
              <w:t>Parametr oferowany</w:t>
            </w:r>
          </w:p>
        </w:tc>
      </w:tr>
      <w:tr w:rsidR="00787658" w:rsidRPr="001823B1" w:rsidTr="00CE1F7D">
        <w:trPr>
          <w:trHeight w:val="144"/>
        </w:trPr>
        <w:tc>
          <w:tcPr>
            <w:tcW w:w="10065" w:type="dxa"/>
            <w:gridSpan w:val="4"/>
            <w:shd w:val="clear" w:color="auto" w:fill="DBE5F1" w:themeFill="accent1" w:themeFillTint="33"/>
            <w:vAlign w:val="center"/>
          </w:tcPr>
          <w:p w:rsidR="00787658" w:rsidRDefault="00787658" w:rsidP="00CE1F7D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  <w:b/>
                <w:bCs/>
              </w:rPr>
              <w:t>Urządzenie do dekontaminacji poprzez zamgławianie – AIRDECON 200 – 1szt.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Oferowany model: ………………………………………</w:t>
            </w:r>
          </w:p>
          <w:p w:rsidR="00787658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Producent: …………………………………………………………</w:t>
            </w:r>
          </w:p>
          <w:p w:rsidR="00787658" w:rsidRPr="001823B1" w:rsidRDefault="00787658" w:rsidP="00CE1F7D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Rok produkcji…………………………………………………..</w:t>
            </w: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272CA8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Urządzenie fabrycznie nowe, nie demonstracyjne, nie powystawowe, rok produkcji min. 201</w:t>
            </w:r>
            <w:r>
              <w:rPr>
                <w:rFonts w:cs="Times New Roman"/>
                <w:sz w:val="22"/>
                <w:szCs w:val="22"/>
                <w:lang w:val="pl-PL"/>
              </w:rPr>
              <w:t>8</w:t>
            </w: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 r., wolne od wad fabrycznych.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System do </w:t>
            </w:r>
            <w:proofErr w:type="spellStart"/>
            <w:r w:rsidRPr="00654C5F">
              <w:rPr>
                <w:rFonts w:ascii="Times New Roman" w:hAnsi="Times New Roman"/>
              </w:rPr>
              <w:t>Sporobójczej</w:t>
            </w:r>
            <w:proofErr w:type="spellEnd"/>
            <w:r w:rsidRPr="00654C5F">
              <w:rPr>
                <w:rFonts w:ascii="Times New Roman" w:hAnsi="Times New Roman"/>
              </w:rPr>
              <w:t xml:space="preserve"> dezynfekcji wysokiego poziomu, powierzchni wyrobów medycznych w tym powierzchni trudnodostępnych.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musi umożliwiać wybór pracy pomiędzy dekontaminacją </w:t>
            </w:r>
            <w:proofErr w:type="spellStart"/>
            <w:r w:rsidRPr="00654C5F">
              <w:rPr>
                <w:rFonts w:ascii="Times New Roman" w:hAnsi="Times New Roman"/>
              </w:rPr>
              <w:t>peroksonem</w:t>
            </w:r>
            <w:proofErr w:type="spellEnd"/>
            <w:r w:rsidRPr="00654C5F">
              <w:rPr>
                <w:rFonts w:ascii="Times New Roman" w:hAnsi="Times New Roman"/>
              </w:rPr>
              <w:t xml:space="preserve"> (O3 + H2O2) generowanym automatycznie przez urządzenie a nadtlenkiem wodoru (H2O2)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F46D5A">
              <w:rPr>
                <w:rFonts w:ascii="Times New Roman" w:hAnsi="Times New Roman"/>
              </w:rPr>
              <w:t xml:space="preserve">Urządzenie redukujące wszystkie patogenne mikroorganizmy oraz spory bakterii w każdym cyklu </w:t>
            </w:r>
            <w:r w:rsidRPr="00F46D5A">
              <w:rPr>
                <w:rFonts w:ascii="Times New Roman" w:hAnsi="Times New Roman"/>
                <w:b/>
              </w:rPr>
              <w:t xml:space="preserve">przy zastosowaniu badań według normy NFT 72-281 2009 (lub procedury równoważnej do określonej </w:t>
            </w:r>
            <w:proofErr w:type="spellStart"/>
            <w:r w:rsidRPr="00F46D5A">
              <w:rPr>
                <w:rFonts w:ascii="Times New Roman" w:hAnsi="Times New Roman"/>
                <w:b/>
              </w:rPr>
              <w:t>ww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normą)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46D5A" w:rsidRDefault="00787658" w:rsidP="00CE1F7D">
            <w:pPr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Skuteczność działania </w:t>
            </w:r>
            <w:proofErr w:type="spellStart"/>
            <w:r w:rsidRPr="00F46D5A">
              <w:rPr>
                <w:rFonts w:ascii="Times New Roman" w:hAnsi="Times New Roman"/>
              </w:rPr>
              <w:t>mikrobójczego</w:t>
            </w:r>
            <w:proofErr w:type="spellEnd"/>
            <w:r w:rsidRPr="00F46D5A">
              <w:rPr>
                <w:rFonts w:ascii="Times New Roman" w:hAnsi="Times New Roman"/>
              </w:rPr>
              <w:t xml:space="preserve"> ustalona przy zastosowaniu </w:t>
            </w:r>
            <w:r w:rsidRPr="00F46D5A">
              <w:rPr>
                <w:rFonts w:ascii="Times New Roman" w:hAnsi="Times New Roman"/>
                <w:b/>
              </w:rPr>
              <w:t xml:space="preserve">badań według normy NFT 72-281 2009 (lub procedury równoważnej do określonej </w:t>
            </w:r>
            <w:proofErr w:type="spellStart"/>
            <w:r w:rsidRPr="00F46D5A">
              <w:rPr>
                <w:rFonts w:ascii="Times New Roman" w:hAnsi="Times New Roman"/>
                <w:b/>
              </w:rPr>
              <w:t>ww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normą)</w:t>
            </w:r>
            <w:r w:rsidRPr="00F46D5A">
              <w:rPr>
                <w:rFonts w:ascii="Times New Roman" w:hAnsi="Times New Roman"/>
              </w:rPr>
              <w:t>, była na poziomie: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3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Bakterie: redukcja ≥ 5 log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Grzyby/drożdże: redukcja ≥ 4 log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Spory:– redukcja ≥ 3 log</w:t>
            </w: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  <w:bCs/>
              </w:rPr>
            </w:pP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Zestawienie parametrów ocenianych: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color w:val="00B0F0"/>
              </w:rPr>
            </w:pPr>
            <w:r w:rsidRPr="00F46D5A">
              <w:rPr>
                <w:rFonts w:ascii="Times New Roman" w:hAnsi="Times New Roman"/>
                <w:b/>
              </w:rPr>
              <w:t>Wartość redukcji drobnoustrojów określona z dokładnością do dwóch miejsc po przecinku.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46D5A">
              <w:rPr>
                <w:rFonts w:ascii="Times New Roman" w:hAnsi="Times New Roman"/>
                <w:b/>
                <w:u w:val="single"/>
              </w:rPr>
              <w:t xml:space="preserve">Bakterie: </w:t>
            </w:r>
          </w:p>
          <w:p w:rsidR="00787658" w:rsidRPr="00F46D5A" w:rsidRDefault="00787658" w:rsidP="00CE1F7D">
            <w:pPr>
              <w:widowControl w:val="0"/>
              <w:numPr>
                <w:ilvl w:val="0"/>
                <w:numId w:val="2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Staphylococcus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aureus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: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Pseudomonas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aeruginosa</w:t>
            </w:r>
            <w:proofErr w:type="spellEnd"/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redukcja  ≥ 7,3 log </w:t>
            </w:r>
          </w:p>
          <w:p w:rsidR="00787658" w:rsidRPr="00F46D5A" w:rsidRDefault="00787658" w:rsidP="00CE1F7D">
            <w:pPr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46D5A">
              <w:rPr>
                <w:rFonts w:ascii="Times New Roman" w:hAnsi="Times New Roman"/>
                <w:b/>
              </w:rPr>
              <w:t>Enterococcus</w:t>
            </w:r>
            <w:proofErr w:type="spellEnd"/>
            <w:r w:rsidRPr="00F46D5A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46D5A">
              <w:rPr>
                <w:rFonts w:ascii="Times New Roman" w:hAnsi="Times New Roman"/>
                <w:b/>
              </w:rPr>
              <w:t>hirae</w:t>
            </w:r>
            <w:proofErr w:type="spellEnd"/>
            <w:r w:rsidRPr="00F46D5A">
              <w:rPr>
                <w:rFonts w:ascii="Times New Roman" w:hAnsi="Times New Roman"/>
                <w:b/>
              </w:rPr>
              <w:t>: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5 - 6,8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6,9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46D5A" w:rsidRDefault="00787658" w:rsidP="00CE1F7D">
            <w:pPr>
              <w:widowControl w:val="0"/>
              <w:suppressAutoHyphens/>
              <w:autoSpaceDN w:val="0"/>
              <w:ind w:left="720"/>
              <w:textAlignment w:val="baseline"/>
              <w:rPr>
                <w:rFonts w:ascii="Times New Roman" w:hAnsi="Times New Roman"/>
                <w:b/>
              </w:rPr>
            </w:pPr>
            <w:r w:rsidRPr="00F46D5A">
              <w:rPr>
                <w:rFonts w:ascii="Times New Roman" w:hAnsi="Times New Roman"/>
                <w:b/>
              </w:rPr>
              <w:t>Escherichia coli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46D5A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46D5A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bakterii: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24D13">
              <w:rPr>
                <w:rFonts w:ascii="Times New Roman" w:hAnsi="Times New Roman"/>
                <w:b/>
              </w:rPr>
              <w:t>Acinetobacter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</w:rPr>
              <w:t>baumannii</w:t>
            </w:r>
            <w:proofErr w:type="spellEnd"/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3478CC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MRSA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5 - 6,5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– 7,2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7,3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24D13">
              <w:rPr>
                <w:rFonts w:ascii="Times New Roman" w:hAnsi="Times New Roman"/>
                <w:b/>
                <w:u w:val="single"/>
              </w:rPr>
              <w:t xml:space="preserve">Grzyby/ drożdże: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Aspergillus </w:t>
            </w:r>
            <w:proofErr w:type="spellStart"/>
            <w:r w:rsidRPr="00F24D13">
              <w:rPr>
                <w:rFonts w:ascii="Times New Roman" w:hAnsi="Times New Roman"/>
                <w:b/>
              </w:rPr>
              <w:t>niger</w:t>
            </w:r>
            <w:proofErr w:type="spellEnd"/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4 – 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6,1 – 6,6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6,7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widowControl w:val="0"/>
              <w:numPr>
                <w:ilvl w:val="0"/>
                <w:numId w:val="4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Candida </w:t>
            </w:r>
            <w:proofErr w:type="spellStart"/>
            <w:r w:rsidRPr="00F24D13">
              <w:rPr>
                <w:rFonts w:ascii="Times New Roman" w:hAnsi="Times New Roman"/>
                <w:b/>
              </w:rPr>
              <w:t>albicans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4 - 6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6,1 – 6,6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6,7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  <w:u w:val="single"/>
              </w:rPr>
            </w:pPr>
            <w:r w:rsidRPr="00F24D13">
              <w:rPr>
                <w:rFonts w:ascii="Times New Roman" w:hAnsi="Times New Roman"/>
                <w:b/>
                <w:u w:val="single"/>
              </w:rPr>
              <w:t xml:space="preserve">Spory: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  <w:u w:val="single"/>
              </w:rPr>
            </w:pPr>
            <w:proofErr w:type="spellStart"/>
            <w:r w:rsidRPr="00F24D13">
              <w:rPr>
                <w:rFonts w:ascii="Times New Roman" w:hAnsi="Times New Roman"/>
                <w:b/>
                <w:u w:val="single"/>
              </w:rPr>
              <w:t>Bacillus</w:t>
            </w:r>
            <w:proofErr w:type="spellEnd"/>
            <w:r w:rsidRPr="00F24D13">
              <w:rPr>
                <w:rFonts w:ascii="Times New Roman" w:hAnsi="Times New Roman"/>
                <w:b/>
                <w:u w:val="single"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  <w:u w:val="single"/>
              </w:rPr>
              <w:t>subtilis</w:t>
            </w:r>
            <w:proofErr w:type="spellEnd"/>
            <w:r w:rsidRPr="00F24D13">
              <w:rPr>
                <w:rFonts w:ascii="Times New Roman" w:hAnsi="Times New Roman"/>
                <w:b/>
                <w:u w:val="single"/>
              </w:rPr>
              <w:t xml:space="preserve">,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spor: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r w:rsidRPr="00F24D13">
              <w:rPr>
                <w:rFonts w:ascii="Times New Roman" w:hAnsi="Times New Roman"/>
                <w:b/>
              </w:rPr>
              <w:t xml:space="preserve">Clostridium </w:t>
            </w:r>
            <w:proofErr w:type="spellStart"/>
            <w:r w:rsidRPr="00F24D13">
              <w:rPr>
                <w:rFonts w:ascii="Times New Roman" w:hAnsi="Times New Roman"/>
                <w:b/>
              </w:rPr>
              <w:t>Difficile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6,2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6,3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  <w:shd w:val="clear" w:color="auto" w:fill="E5B8B7" w:themeFill="accent2" w:themeFillTint="66"/>
          </w:tcPr>
          <w:p w:rsidR="00787658" w:rsidRPr="00F24D13" w:rsidRDefault="00787658" w:rsidP="00CE1F7D">
            <w:pPr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  <w:b/>
              </w:rPr>
              <w:t>Dodatkowo punktowane szczepy prątków:</w:t>
            </w:r>
            <w:r w:rsidRPr="00F24D13">
              <w:rPr>
                <w:rFonts w:ascii="Times New Roman" w:hAnsi="Times New Roman"/>
              </w:rPr>
              <w:t xml:space="preserve"> </w:t>
            </w:r>
          </w:p>
          <w:p w:rsidR="00787658" w:rsidRPr="00F24D13" w:rsidRDefault="00787658" w:rsidP="00CE1F7D">
            <w:pPr>
              <w:widowControl w:val="0"/>
              <w:numPr>
                <w:ilvl w:val="0"/>
                <w:numId w:val="5"/>
              </w:numPr>
              <w:suppressAutoHyphens/>
              <w:autoSpaceDN w:val="0"/>
              <w:spacing w:after="0" w:line="240" w:lineRule="auto"/>
              <w:textAlignment w:val="baseline"/>
              <w:rPr>
                <w:rFonts w:ascii="Times New Roman" w:hAnsi="Times New Roman"/>
                <w:b/>
              </w:rPr>
            </w:pPr>
            <w:proofErr w:type="spellStart"/>
            <w:r w:rsidRPr="00F24D13">
              <w:rPr>
                <w:rFonts w:ascii="Times New Roman" w:hAnsi="Times New Roman"/>
                <w:b/>
              </w:rPr>
              <w:t>Mycobacterium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F24D13">
              <w:rPr>
                <w:rFonts w:ascii="Times New Roman" w:hAnsi="Times New Roman"/>
                <w:b/>
              </w:rPr>
              <w:t>terrae</w:t>
            </w:r>
            <w:proofErr w:type="spellEnd"/>
            <w:r w:rsidRPr="00F24D13">
              <w:rPr>
                <w:rFonts w:ascii="Times New Roman" w:hAnsi="Times New Roman"/>
                <w:b/>
              </w:rPr>
              <w:t xml:space="preserve">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3 – 5 log </w:t>
            </w:r>
          </w:p>
          <w:p w:rsidR="00787658" w:rsidRPr="00F24D13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5,1 – 6,5 log </w:t>
            </w:r>
          </w:p>
          <w:p w:rsidR="00787658" w:rsidRPr="003478CC" w:rsidRDefault="00787658" w:rsidP="00CE1F7D">
            <w:pPr>
              <w:ind w:left="720"/>
              <w:rPr>
                <w:rFonts w:ascii="Times New Roman" w:hAnsi="Times New Roman"/>
              </w:rPr>
            </w:pPr>
            <w:r w:rsidRPr="00F24D13">
              <w:rPr>
                <w:rFonts w:ascii="Times New Roman" w:hAnsi="Times New Roman"/>
              </w:rPr>
              <w:t xml:space="preserve">redukcja  ≥ 6,6 log </w:t>
            </w:r>
          </w:p>
        </w:tc>
        <w:tc>
          <w:tcPr>
            <w:tcW w:w="1559" w:type="dxa"/>
            <w:shd w:val="clear" w:color="auto" w:fill="E5B8B7" w:themeFill="accent2" w:themeFillTint="66"/>
            <w:vAlign w:val="center"/>
          </w:tcPr>
          <w:p w:rsidR="00787658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TAK – 10 pkt.</w:t>
            </w:r>
          </w:p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NIE – 0 pkt.</w:t>
            </w:r>
          </w:p>
        </w:tc>
        <w:tc>
          <w:tcPr>
            <w:tcW w:w="2552" w:type="dxa"/>
            <w:shd w:val="clear" w:color="auto" w:fill="E5B8B7" w:themeFill="accent2" w:themeFillTint="66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24D13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</w:rPr>
            </w:pP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Wymagane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dołączenie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oferty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skuteczności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przy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zastosowaniu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badań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według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normy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NFT 72-281 2009(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lub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procedury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równoważnej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określonej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ww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normą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),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połączeniu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zaproponowanym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r>
              <w:rPr>
                <w:rFonts w:cs="Times New Roman"/>
                <w:b/>
                <w:sz w:val="22"/>
                <w:szCs w:val="22"/>
              </w:rPr>
              <w:t xml:space="preserve">w </w:t>
            </w:r>
            <w:proofErr w:type="spellStart"/>
            <w:r>
              <w:rPr>
                <w:rFonts w:cs="Times New Roman"/>
                <w:b/>
                <w:sz w:val="22"/>
                <w:szCs w:val="22"/>
              </w:rPr>
              <w:t>poz</w:t>
            </w:r>
            <w:proofErr w:type="spellEnd"/>
            <w:r>
              <w:rPr>
                <w:rFonts w:cs="Times New Roman"/>
                <w:b/>
                <w:sz w:val="22"/>
                <w:szCs w:val="22"/>
              </w:rPr>
              <w:t xml:space="preserve">. 24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środkiem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dezynfekcyjnym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stosowanym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urządzeniu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(w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języku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polskim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).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Wymaga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aby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odnosiły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się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ściśle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do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preparatu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oraz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urządzenia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o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nazwie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handlowej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zawartej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 xml:space="preserve"> w </w:t>
            </w:r>
            <w:proofErr w:type="spellStart"/>
            <w:r w:rsidRPr="00F24D13">
              <w:rPr>
                <w:rFonts w:cs="Times New Roman"/>
                <w:b/>
                <w:sz w:val="22"/>
                <w:szCs w:val="22"/>
              </w:rPr>
              <w:t>ofercie</w:t>
            </w:r>
            <w:proofErr w:type="spellEnd"/>
            <w:r w:rsidRPr="00F24D13">
              <w:rPr>
                <w:rFonts w:cs="Times New Roman"/>
                <w:b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24D13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Czas kontaktu (dezynfekcja właściwa)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po etapie napełnienia pomieszczenia nadtlenkiem wodoru,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 nie może przekraczać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60 minut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. Dla przykładu proces </w:t>
            </w:r>
            <w:r w:rsidRPr="00F24D13">
              <w:rPr>
                <w:rFonts w:cs="Times New Roman"/>
                <w:b/>
                <w:sz w:val="22"/>
                <w:szCs w:val="22"/>
                <w:lang w:val="pl-PL"/>
              </w:rPr>
              <w:t>dezynfekcji</w:t>
            </w:r>
            <w:r w:rsidRPr="00F24D13">
              <w:rPr>
                <w:rFonts w:cs="Times New Roman"/>
                <w:sz w:val="22"/>
                <w:szCs w:val="22"/>
                <w:lang w:val="pl-PL"/>
              </w:rPr>
              <w:t xml:space="preserve"> pomieszczenia o kubaturze 30 m3 nie powinien przekraczać 90 minut (do 30 minut faza natrysku H2O2 + 60 minut czas kontaktu)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F64F93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Proces dekontaminacji bezpieczny dla użytkownika (automatyczne przerwanie procesu dekontaminacji w monecie wykrycia przez urządzenie ruchu osób postronnych) , ekranów LCD, urządzeń elektryc</w:t>
            </w:r>
            <w:r>
              <w:rPr>
                <w:rFonts w:cs="Times New Roman"/>
                <w:sz w:val="22"/>
                <w:szCs w:val="22"/>
                <w:lang w:val="pl-PL"/>
              </w:rPr>
              <w:t>znych, wyrobów medycznych w tym</w:t>
            </w: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 inkubatorów, materacy.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tworzy suchą mgłę, nie skrapla się na </w:t>
            </w:r>
            <w:r>
              <w:rPr>
                <w:rFonts w:ascii="Times New Roman" w:hAnsi="Times New Roman"/>
              </w:rPr>
              <w:t>d</w:t>
            </w:r>
            <w:r w:rsidRPr="00654C5F">
              <w:rPr>
                <w:rFonts w:ascii="Times New Roman" w:hAnsi="Times New Roman"/>
              </w:rPr>
              <w:t>ekontaminowanych powierzchniach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Powierzchni nie trzeba myć ani dezynfekować po procesie dekontaminacji.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łączy się przez </w:t>
            </w:r>
            <w:proofErr w:type="spellStart"/>
            <w:r w:rsidRPr="00654C5F">
              <w:rPr>
                <w:rFonts w:ascii="Times New Roman" w:hAnsi="Times New Roman"/>
              </w:rPr>
              <w:t>Wi</w:t>
            </w:r>
            <w:proofErr w:type="spellEnd"/>
            <w:r w:rsidRPr="00654C5F">
              <w:rPr>
                <w:rFonts w:ascii="Times New Roman" w:hAnsi="Times New Roman"/>
              </w:rPr>
              <w:t xml:space="preserve"> Fi z tabletem, telefonem, komputerem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wyposażone w czujnik ruchu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Możliwość podłączenia urządzenia do</w:t>
            </w:r>
            <w:r>
              <w:rPr>
                <w:rFonts w:ascii="Times New Roman" w:hAnsi="Times New Roman"/>
              </w:rPr>
              <w:t xml:space="preserve"> komputera przez kabel sieciowy.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wyposażone w fabrycznie zamontowane kółka jezdne oraz ergonomiczną rączkę pozwalające na swobodne przemieszczanie.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b/>
                <w:bCs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 xml:space="preserve">Urządzenie z elektronicznym śledzeniem, walidacją oraz archiwizacją historii </w:t>
            </w:r>
            <w:r>
              <w:rPr>
                <w:rFonts w:cs="Times New Roman"/>
                <w:sz w:val="22"/>
                <w:szCs w:val="22"/>
                <w:lang w:val="pl-PL"/>
              </w:rPr>
              <w:t>całego procesu.</w:t>
            </w:r>
            <w:r w:rsidRPr="005D5D24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r w:rsidRPr="00116374">
              <w:rPr>
                <w:rFonts w:cs="Times New Roman"/>
                <w:sz w:val="22"/>
                <w:szCs w:val="22"/>
                <w:lang w:val="pl-PL"/>
              </w:rPr>
              <w:t>Każdy raport musi zawierać</w:t>
            </w:r>
            <w:r w:rsidRPr="00116374">
              <w:rPr>
                <w:rFonts w:cs="Times New Roman"/>
                <w:sz w:val="22"/>
                <w:szCs w:val="22"/>
              </w:rPr>
              <w:t xml:space="preserve">: Data i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godzina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rozpoczęcia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zakończenia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Numer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cyklu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Ilość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zużytego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środka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dezynfekcyjnego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numer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seryjny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środka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dezynfekcyjnego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oraz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jego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nazwa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temperatura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i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wilgotność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powietrza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pomieszczaniu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w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trakcie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procesu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/ </w:t>
            </w:r>
            <w:proofErr w:type="spellStart"/>
            <w:r w:rsidRPr="00116374">
              <w:rPr>
                <w:rFonts w:cs="Times New Roman"/>
                <w:b/>
                <w:sz w:val="22"/>
                <w:szCs w:val="22"/>
              </w:rPr>
              <w:t>Identyfikator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b/>
                <w:sz w:val="22"/>
                <w:szCs w:val="22"/>
              </w:rPr>
              <w:t>operatora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włączającego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 xml:space="preserve"> </w:t>
            </w:r>
            <w:proofErr w:type="spellStart"/>
            <w:r w:rsidRPr="00116374">
              <w:rPr>
                <w:rFonts w:cs="Times New Roman"/>
                <w:sz w:val="22"/>
                <w:szCs w:val="22"/>
              </w:rPr>
              <w:t>proces</w:t>
            </w:r>
            <w:proofErr w:type="spellEnd"/>
            <w:r w:rsidRPr="00116374">
              <w:rPr>
                <w:rFonts w:cs="Times New Roman"/>
                <w:sz w:val="22"/>
                <w:szCs w:val="22"/>
              </w:rPr>
              <w:t>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Urządzenie o wymiarach: +/- 5 cm/kg :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Szerokość: 40 cm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Wysokość: 107 cm</w:t>
            </w:r>
          </w:p>
          <w:p w:rsidR="00787658" w:rsidRPr="00654C5F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654C5F">
              <w:rPr>
                <w:rFonts w:cs="Times New Roman"/>
                <w:sz w:val="22"/>
                <w:szCs w:val="22"/>
                <w:lang w:val="pl-PL"/>
              </w:rPr>
              <w:t>Głębokość: 43 cm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Waga: 40 kg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z programowaniem i pamięcią pomieszczeń (wystarczy raz zmierzyć pomieszczenie i wpisać dane)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pamiętające min. 100 operatorów upoważnionych do obsługi urządzenia.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Urządzenie z programatorem dnia i czasu - urządzenie samo się włączy o konkretnej godzinie i wybranym dniu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Default="00787658" w:rsidP="00CE1F7D">
            <w:pPr>
              <w:rPr>
                <w:rFonts w:ascii="Times New Roman" w:hAnsi="Times New Roman"/>
              </w:rPr>
            </w:pPr>
            <w:r w:rsidRPr="00654C5F">
              <w:rPr>
                <w:rFonts w:ascii="Times New Roman" w:hAnsi="Times New Roman"/>
              </w:rPr>
              <w:t>Urządzenie wyposażone w mobilny katalizator powietrza,</w:t>
            </w:r>
            <w:r>
              <w:rPr>
                <w:rFonts w:ascii="Times New Roman" w:hAnsi="Times New Roman"/>
              </w:rPr>
              <w:t xml:space="preserve"> filtrujący cząstki wielkości </w:t>
            </w:r>
            <w:r w:rsidRPr="00F24D13">
              <w:rPr>
                <w:rFonts w:ascii="Times New Roman" w:hAnsi="Times New Roman"/>
              </w:rPr>
              <w:t>≤</w:t>
            </w:r>
            <w:r w:rsidRPr="00654C5F">
              <w:rPr>
                <w:rFonts w:ascii="Times New Roman" w:hAnsi="Times New Roman"/>
              </w:rPr>
              <w:t xml:space="preserve"> 0,007 mikrona, 9-stopniowy filtr pochłaniający lotne związki organiczne oraz mikroorganizmy, zdalnie sterowany, posiadający trzy tryby pracy do wyboru, sygnalizujący konieczność wymiany filtra, waga 15 kg z tolerancją +/-2kg,  wydajność na poziomie 300 m3/h, możliwość ciągłej pracy 24/7</w:t>
            </w:r>
            <w:r>
              <w:rPr>
                <w:rFonts w:ascii="Times New Roman" w:hAnsi="Times New Roman"/>
              </w:rPr>
              <w:t>.</w:t>
            </w:r>
          </w:p>
          <w:p w:rsidR="00787658" w:rsidRPr="00C12529" w:rsidRDefault="00787658" w:rsidP="00CE1F7D">
            <w:pPr>
              <w:spacing w:line="256" w:lineRule="auto"/>
              <w:rPr>
                <w:rFonts w:ascii="Times New Roman" w:hAnsi="Times New Roman"/>
                <w:b/>
                <w:color w:val="000000" w:themeColor="text1"/>
              </w:rPr>
            </w:pPr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Filtr w katalizatorze posiada zdolność wychwytywania </w:t>
            </w:r>
            <w:r w:rsidRPr="005D5D24">
              <w:rPr>
                <w:rFonts w:ascii="Times New Roman" w:hAnsi="Times New Roman"/>
                <w:b/>
                <w:color w:val="000000" w:themeColor="text1"/>
              </w:rPr>
              <w:br/>
              <w:t>i redukcji jednostek tworzących kolonie (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cfu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) mikroorganizmów w tym bakterii 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Bacillus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  <w:proofErr w:type="spellStart"/>
            <w:r w:rsidRPr="005D5D24">
              <w:rPr>
                <w:rFonts w:ascii="Times New Roman" w:hAnsi="Times New Roman"/>
                <w:b/>
                <w:color w:val="000000" w:themeColor="text1"/>
              </w:rPr>
              <w:t>subtilis</w:t>
            </w:r>
            <w:proofErr w:type="spellEnd"/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o co najmniej 98% potwierdzone raportem badań (w języku polskim) wykonanych przez niezależne laboratorium</w:t>
            </w:r>
            <w:r>
              <w:rPr>
                <w:rFonts w:ascii="Times New Roman" w:hAnsi="Times New Roman"/>
                <w:b/>
                <w:color w:val="000000" w:themeColor="text1"/>
              </w:rPr>
              <w:t>.</w:t>
            </w:r>
            <w:r w:rsidRPr="005D5D24">
              <w:rPr>
                <w:rFonts w:ascii="Times New Roman" w:hAnsi="Times New Roman"/>
                <w:b/>
                <w:color w:val="000000" w:themeColor="text1"/>
              </w:rPr>
              <w:t xml:space="preserve"> </w:t>
            </w:r>
          </w:p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5D5D24">
              <w:rPr>
                <w:rFonts w:ascii="Times New Roman" w:hAnsi="Times New Roman"/>
                <w:b/>
                <w:color w:val="000000" w:themeColor="text1"/>
              </w:rPr>
              <w:t>Podać pełną nazwę zaoferowanego urządzenia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Możliwość zastosowania walidowanych z systemem pasków testowych sprawdzających skuteczność procesu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 xml:space="preserve">Urządzenie z elektronicznym czytnikiem kodów z dedykowanych kanistrów z środkiem dezynfekcyjnym </w:t>
            </w:r>
            <w:r>
              <w:rPr>
                <w:rFonts w:ascii="Times New Roman" w:hAnsi="Times New Roman"/>
              </w:rPr>
              <w:t>zaczytującym</w:t>
            </w:r>
            <w:r w:rsidRPr="00654C5F">
              <w:rPr>
                <w:rFonts w:ascii="Times New Roman" w:hAnsi="Times New Roman"/>
              </w:rPr>
              <w:t>: datę ważności, nr seryjny, ilości pozostałego czynnika w pojemnikach. Automatyczna blokada zabezpieczająca przed uruchomieniem procesu w przypadku braku wystarczającej ilości czynnika dezynfekującego.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Wsparcie techniczne - online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Dekontaminacja pomieszczeń o kubaturze: min 300 m3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Środek  do dezynfekcji wysokiego poziomu na bazie 7,5% nadtlenku wodoru, kompatybilny z urządzeniem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posiadający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badania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skuteczności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mikrobójczej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zgodnie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z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następującymi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 xml:space="preserve"> </w:t>
            </w:r>
            <w:proofErr w:type="spellStart"/>
            <w:r w:rsidRPr="00447550">
              <w:rPr>
                <w:rFonts w:cs="Times New Roman"/>
                <w:b/>
                <w:sz w:val="22"/>
                <w:szCs w:val="22"/>
              </w:rPr>
              <w:t>normami</w:t>
            </w:r>
            <w:proofErr w:type="spellEnd"/>
            <w:r w:rsidRPr="00447550">
              <w:rPr>
                <w:rFonts w:cs="Times New Roman"/>
                <w:b/>
                <w:sz w:val="22"/>
                <w:szCs w:val="22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Bakterie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 14561: Staphylococcus aureus, Pseudomonas aeruginosa, Enterococcus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hirae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EN13727: Staphylococcus aureus, Pseudomonas aeruginosa, Enterococcus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hirae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 1040: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Pseudomonas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aeruginosa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Staphylococcus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aureus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Grzyby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 14562: Aspergillus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brasiliensis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albicans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EN13624: Aspergillus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brasiliensis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en-US"/>
              </w:rPr>
              <w:t xml:space="preserve">, Candida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en-US"/>
              </w:rPr>
              <w:t>albicans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Prątki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 14563: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terrae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avium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EN14348: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terrae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Mycobacterium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avium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Wirusy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>EN14476: Poliovirus, Adenovirus, Murine norovirus, WZW B, WZW C, HIV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>Spory</w:t>
            </w:r>
            <w:r w:rsidRPr="00447550">
              <w:rPr>
                <w:rFonts w:cs="Times New Roman"/>
                <w:sz w:val="22"/>
                <w:szCs w:val="22"/>
                <w:lang w:val="pl-PL"/>
              </w:rPr>
              <w:t>: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EN14347: Clostridium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difficile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,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Bacillus</w:t>
            </w:r>
            <w:proofErr w:type="spellEnd"/>
            <w:r w:rsidRPr="00447550">
              <w:rPr>
                <w:rFonts w:cs="Times New Roman"/>
                <w:sz w:val="22"/>
                <w:szCs w:val="22"/>
                <w:lang w:val="pl-PL"/>
              </w:rPr>
              <w:t xml:space="preserve"> </w:t>
            </w:r>
            <w:proofErr w:type="spellStart"/>
            <w:r w:rsidRPr="00447550">
              <w:rPr>
                <w:rFonts w:cs="Times New Roman"/>
                <w:sz w:val="22"/>
                <w:szCs w:val="22"/>
                <w:lang w:val="pl-PL"/>
              </w:rPr>
              <w:t>subtilis</w:t>
            </w:r>
            <w:proofErr w:type="spellEnd"/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en-US"/>
              </w:rPr>
            </w:pPr>
            <w:r w:rsidRPr="00447550">
              <w:rPr>
                <w:rFonts w:cs="Times New Roman"/>
                <w:sz w:val="22"/>
                <w:szCs w:val="22"/>
                <w:lang w:val="en-US"/>
              </w:rPr>
              <w:t>EN13704: Clostridium difficile R027, Clostridium difficile, Bacillus subtilis</w:t>
            </w: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sz w:val="22"/>
                <w:szCs w:val="22"/>
                <w:lang w:val="pl-PL"/>
              </w:rPr>
            </w:pPr>
          </w:p>
          <w:p w:rsidR="00787658" w:rsidRPr="00447550" w:rsidRDefault="00787658" w:rsidP="00CE1F7D">
            <w:pPr>
              <w:pStyle w:val="Standard"/>
              <w:snapToGrid w:val="0"/>
              <w:rPr>
                <w:rFonts w:cs="Times New Roman"/>
                <w:b/>
                <w:sz w:val="22"/>
                <w:szCs w:val="22"/>
                <w:lang w:val="pl-PL"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 xml:space="preserve">Podać nazwę zaoferowanego preparatu: </w:t>
            </w:r>
          </w:p>
          <w:p w:rsidR="00787658" w:rsidRPr="00320492" w:rsidRDefault="00787658" w:rsidP="00CE1F7D">
            <w:pPr>
              <w:pStyle w:val="Standard"/>
              <w:snapToGrid w:val="0"/>
              <w:rPr>
                <w:b/>
                <w:bCs/>
              </w:rPr>
            </w:pPr>
            <w:r w:rsidRPr="00447550">
              <w:rPr>
                <w:rFonts w:cs="Times New Roman"/>
                <w:b/>
                <w:sz w:val="22"/>
                <w:szCs w:val="22"/>
                <w:lang w:val="pl-PL"/>
              </w:rPr>
              <w:t xml:space="preserve">Wymagane dołączenie do oferty badań potwierdzających spełnienie norm w języku polskim. 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  <w:tr w:rsidR="00787658" w:rsidRPr="0037272C" w:rsidTr="00CE1F7D">
        <w:trPr>
          <w:trHeight w:val="144"/>
        </w:trPr>
        <w:tc>
          <w:tcPr>
            <w:tcW w:w="568" w:type="dxa"/>
            <w:vAlign w:val="center"/>
          </w:tcPr>
          <w:p w:rsidR="00787658" w:rsidRPr="0037272C" w:rsidRDefault="00787658" w:rsidP="00CE1F7D">
            <w:pPr>
              <w:numPr>
                <w:ilvl w:val="1"/>
                <w:numId w:val="1"/>
              </w:numPr>
              <w:spacing w:after="0" w:line="276" w:lineRule="auto"/>
              <w:rPr>
                <w:rFonts w:ascii="Times New Roman" w:hAnsi="Times New Roman"/>
              </w:rPr>
            </w:pPr>
          </w:p>
        </w:tc>
        <w:tc>
          <w:tcPr>
            <w:tcW w:w="5386" w:type="dxa"/>
          </w:tcPr>
          <w:p w:rsidR="00787658" w:rsidRPr="00654C5F" w:rsidRDefault="00787658" w:rsidP="00CE1F7D">
            <w:pPr>
              <w:rPr>
                <w:rFonts w:ascii="Times New Roman" w:hAnsi="Times New Roman"/>
                <w:b/>
                <w:bCs/>
              </w:rPr>
            </w:pPr>
            <w:r w:rsidRPr="00654C5F">
              <w:rPr>
                <w:rFonts w:ascii="Times New Roman" w:hAnsi="Times New Roman"/>
              </w:rPr>
              <w:t>Spełnia wszystkie europejskie standardy bezpieczeństwa: NF EN 61010-1, 2004/108/EC,CEI 61000-4-2, CEI 61000-4-3, CEI 61000-4-4 , CEI 61000-4-5, CEI 61000-4-6, CEI 61000-4-11, CEI 61000-3-2, CEI 61000-3-3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37272C" w:rsidRDefault="00787658" w:rsidP="00CE1F7D">
            <w:pPr>
              <w:spacing w:after="0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/>
    <w:p w:rsidR="00787658" w:rsidRDefault="00787658" w:rsidP="00787658"/>
    <w:p w:rsidR="00787658" w:rsidRDefault="00787658" w:rsidP="00787658"/>
    <w:tbl>
      <w:tblPr>
        <w:tblpPr w:leftFromText="141" w:rightFromText="141" w:horzAnchor="margin" w:tblpY="1572"/>
        <w:tblW w:w="1006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8"/>
        <w:gridCol w:w="5386"/>
        <w:gridCol w:w="1559"/>
        <w:gridCol w:w="2552"/>
      </w:tblGrid>
      <w:tr w:rsidR="00787658" w:rsidRPr="001823B1" w:rsidTr="00CE1F7D">
        <w:trPr>
          <w:trHeight w:val="144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ind w:left="71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L.p.</w:t>
            </w: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Wymagane parametry i funkcje</w:t>
            </w:r>
          </w:p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b/>
                <w:bCs/>
                <w:color w:val="000000"/>
                <w:lang w:eastAsia="de-DE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(wartości minimalne wymagane)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Parametr wymagany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  <w:r w:rsidRPr="001823B1">
              <w:rPr>
                <w:rFonts w:ascii="Times New Roman" w:hAnsi="Times New Roman"/>
                <w:color w:val="000000"/>
              </w:rPr>
              <w:t>Parametr oferowany</w:t>
            </w: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ind w:left="360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  <w:b/>
                <w:bCs/>
                <w:color w:val="000000"/>
                <w:lang w:eastAsia="de-DE"/>
              </w:rPr>
              <w:t>Wymagania techniczne – dotyczy wszystkich powyższych urządzeń</w:t>
            </w:r>
          </w:p>
        </w:tc>
        <w:tc>
          <w:tcPr>
            <w:tcW w:w="1559" w:type="dxa"/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552" w:type="dxa"/>
            <w:shd w:val="clear" w:color="auto" w:fill="BFBFBF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  <w:color w:val="000000"/>
              </w:rPr>
            </w:pP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Paszport techniczny oraz instrukcja obsługi w języku polskim dostarczona wraz z urządzeniem. /dotyczy sprzętu medycznego/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Obsługa urządzenia i komunikaty w języku polskim/jeśli dotyczy/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Gwarancja min. 24 miesiące od dnia instalacji potwierdzonej protokołem uruchomienia i przekazania urządzenia w terminie uwzględniającym czas pracy personelu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reakcji serwisu od powiadomienia do rozpoczęcia naprawy max. 48 godz. /dotyczy sprzętu medycznego/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Czas oczekiwania na skuteczne usunięcie uszkodzenia /dotyczy sprzętu medycznego/:</w:t>
            </w:r>
          </w:p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a. nie wymagającej importu części nie dłużej niż 2 dni robocze /dotyczy sprzętu medycznego/</w:t>
            </w:r>
          </w:p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b. wymagającej importu  części nie dłużej niż 10 dni roboczych. /dotyczy sprzętu medycznego/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520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dostarczy, zainstaluje i uruchomi, a także przeprowadzi szkolenie z zakresu obsługi w cenie oferty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462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Wykonawca zobowiązany jest do dostarczenia informacji niezbędnych do wypełnienia paszportu technicznego urządzenia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462"/>
        </w:trPr>
        <w:tc>
          <w:tcPr>
            <w:tcW w:w="568" w:type="dxa"/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uppressAutoHyphens/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>Serwis pogwarancyjny, dostępność części zamiennych – min. 10 lat od daty sprzedaży /dotyczy sprzętu medycznego</w:t>
            </w:r>
          </w:p>
        </w:tc>
        <w:tc>
          <w:tcPr>
            <w:tcW w:w="1559" w:type="dxa"/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  <w:tr w:rsidR="00787658" w:rsidRPr="001823B1" w:rsidTr="00CE1F7D">
        <w:trPr>
          <w:trHeight w:val="4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58" w:rsidRPr="001823B1" w:rsidRDefault="00787658" w:rsidP="00CE1F7D">
            <w:pPr>
              <w:numPr>
                <w:ilvl w:val="1"/>
                <w:numId w:val="1"/>
              </w:num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538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58" w:rsidRPr="001823B1" w:rsidRDefault="00787658" w:rsidP="00CE1F7D">
            <w:pPr>
              <w:spacing w:after="0"/>
              <w:rPr>
                <w:rFonts w:ascii="Times New Roman" w:hAnsi="Times New Roman"/>
                <w:szCs w:val="18"/>
              </w:rPr>
            </w:pPr>
            <w:r w:rsidRPr="001823B1">
              <w:rPr>
                <w:rFonts w:ascii="Times New Roman" w:hAnsi="Times New Roman"/>
                <w:szCs w:val="18"/>
              </w:rPr>
              <w:t xml:space="preserve">Urządzenie wykonane w technologii energooszczędnej – urządzenie energooszczędne / jeśli dotyczy/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58" w:rsidRPr="001823B1" w:rsidRDefault="00787658" w:rsidP="00CE1F7D">
            <w:pPr>
              <w:spacing w:after="0"/>
              <w:jc w:val="center"/>
              <w:rPr>
                <w:rFonts w:ascii="Times New Roman" w:hAnsi="Times New Roman"/>
              </w:rPr>
            </w:pPr>
            <w:r w:rsidRPr="001823B1">
              <w:rPr>
                <w:rFonts w:ascii="Times New Roman" w:hAnsi="Times New Roman"/>
              </w:rPr>
              <w:t>TAK, podać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87658" w:rsidRPr="001823B1" w:rsidRDefault="00787658" w:rsidP="00CE1F7D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3C7A90" w:rsidRDefault="003C7A90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bookmarkStart w:id="0" w:name="_GoBack"/>
      <w:bookmarkEnd w:id="0"/>
    </w:p>
    <w:p w:rsidR="003C7A90" w:rsidRDefault="003C7A90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3C7A90" w:rsidRDefault="003C7A90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</w:p>
    <w:p w:rsidR="00787658" w:rsidRPr="003F7724" w:rsidRDefault="00787658" w:rsidP="00787658">
      <w:pPr>
        <w:suppressAutoHyphens/>
        <w:autoSpaceDE w:val="0"/>
        <w:spacing w:after="0" w:line="240" w:lineRule="auto"/>
        <w:ind w:right="58"/>
        <w:jc w:val="both"/>
        <w:rPr>
          <w:rFonts w:ascii="Times New Roman" w:eastAsia="Arial Unicode MS" w:hAnsi="Times New Roman"/>
          <w:lang w:eastAsia="zh-CN"/>
        </w:rPr>
      </w:pPr>
      <w:r w:rsidRPr="003F7724">
        <w:rPr>
          <w:rFonts w:ascii="Times New Roman" w:eastAsia="Arial Unicode MS" w:hAnsi="Times New Roman"/>
          <w:lang w:eastAsia="zh-CN"/>
        </w:rPr>
        <w:t xml:space="preserve">Parametry wymagane stanowią parametry graniczne / odcinające – nie spełnienie nawet jednego z  w/w parametrów spowoduje odrzucenie oferty. Brak opisu traktowany będzie jako brak danego parametru w  oferowanej konfiguracji. 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60"/>
        <w:jc w:val="center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</w:rPr>
        <w:t xml:space="preserve">                                                                                                              …………………………………..</w:t>
      </w:r>
    </w:p>
    <w:p w:rsidR="00787658" w:rsidRPr="003F7724" w:rsidRDefault="00787658" w:rsidP="00787658">
      <w:pPr>
        <w:widowControl w:val="0"/>
        <w:suppressAutoHyphens/>
        <w:autoSpaceDN w:val="0"/>
        <w:spacing w:after="0" w:line="240" w:lineRule="auto"/>
        <w:ind w:left="2124" w:firstLine="708"/>
        <w:textAlignment w:val="baseline"/>
        <w:rPr>
          <w:rFonts w:ascii="Times New Roman" w:eastAsia="Lucida Sans Unicode" w:hAnsi="Times New Roman" w:cs="Tahoma"/>
          <w:kern w:val="3"/>
        </w:rPr>
      </w:pPr>
      <w:r w:rsidRPr="003F7724">
        <w:rPr>
          <w:rFonts w:ascii="Times New Roman" w:eastAsia="Lucida Sans Unicode" w:hAnsi="Times New Roman" w:cs="Tahoma"/>
          <w:kern w:val="3"/>
          <w:sz w:val="20"/>
          <w:szCs w:val="20"/>
        </w:rPr>
        <w:t xml:space="preserve">       Podpis osoby uprawnionej do</w:t>
      </w:r>
    </w:p>
    <w:p w:rsidR="00787658" w:rsidRPr="003F7724" w:rsidRDefault="00787658" w:rsidP="00787658">
      <w:pPr>
        <w:widowControl w:val="0"/>
        <w:suppressAutoHyphens/>
        <w:autoSpaceDN w:val="0"/>
        <w:spacing w:before="60" w:after="0"/>
        <w:textAlignment w:val="baseline"/>
        <w:rPr>
          <w:rFonts w:ascii="Times New Roman" w:eastAsia="Times New Roman" w:hAnsi="Times New Roman" w:cs="Arial"/>
          <w:kern w:val="3"/>
          <w:sz w:val="24"/>
          <w:szCs w:val="24"/>
        </w:rPr>
      </w:pP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 xml:space="preserve">                                                                reprezentowania wykonawcy</w:t>
      </w:r>
      <w:r w:rsidRPr="003F7724">
        <w:rPr>
          <w:rFonts w:ascii="Times New Roman" w:eastAsia="Times New Roman" w:hAnsi="Times New Roman" w:cs="Arial"/>
          <w:kern w:val="3"/>
          <w:sz w:val="20"/>
          <w:szCs w:val="20"/>
        </w:rPr>
        <w:tab/>
      </w:r>
    </w:p>
    <w:p w:rsidR="00787658" w:rsidRDefault="00787658" w:rsidP="00787658"/>
    <w:p w:rsidR="00787658" w:rsidRPr="00787658" w:rsidRDefault="00787658" w:rsidP="00787658"/>
    <w:sectPr w:rsidR="00787658" w:rsidRPr="00787658" w:rsidSect="00CD639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739F" w:rsidRDefault="0086739F" w:rsidP="00436021">
      <w:pPr>
        <w:spacing w:after="0" w:line="240" w:lineRule="auto"/>
      </w:pPr>
      <w:r>
        <w:separator/>
      </w:r>
    </w:p>
  </w:endnote>
  <w:endnote w:type="continuationSeparator" w:id="0">
    <w:p w:rsidR="0086739F" w:rsidRDefault="0086739F" w:rsidP="004360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739F" w:rsidRDefault="0086739F" w:rsidP="00436021">
      <w:pPr>
        <w:spacing w:after="0" w:line="240" w:lineRule="auto"/>
      </w:pPr>
      <w:r>
        <w:separator/>
      </w:r>
    </w:p>
  </w:footnote>
  <w:footnote w:type="continuationSeparator" w:id="0">
    <w:p w:rsidR="0086739F" w:rsidRDefault="0086739F" w:rsidP="004360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7D" w:rsidRPr="007C2A95" w:rsidRDefault="00CE1F7D" w:rsidP="009B76C0">
    <w:pPr>
      <w:pStyle w:val="Nagwek"/>
      <w:jc w:val="right"/>
      <w:rPr>
        <w:rFonts w:ascii="Times New Roman" w:hAnsi="Times New Roman"/>
      </w:rPr>
    </w:pPr>
    <w:r>
      <w:rPr>
        <w:rFonts w:ascii="Times New Roman" w:hAnsi="Times New Roman"/>
      </w:rPr>
      <w:t xml:space="preserve">Zał. nr 3.1. do SIWZ - </w:t>
    </w:r>
    <w:r w:rsidRPr="007C2A95">
      <w:rPr>
        <w:rFonts w:ascii="Times New Roman" w:hAnsi="Times New Roman"/>
      </w:rPr>
      <w:t>OPIS PRZEDMIOTU ZAMÓWIENIA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A7D20"/>
    <w:multiLevelType w:val="hybridMultilevel"/>
    <w:tmpl w:val="B33476B2"/>
    <w:lvl w:ilvl="0" w:tplc="FE74691C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370FBF"/>
    <w:multiLevelType w:val="hybridMultilevel"/>
    <w:tmpl w:val="01E2B30C"/>
    <w:lvl w:ilvl="0" w:tplc="6C72D236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3A07B9"/>
    <w:multiLevelType w:val="hybridMultilevel"/>
    <w:tmpl w:val="9D4A9416"/>
    <w:lvl w:ilvl="0" w:tplc="3E64E868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22D2196"/>
    <w:multiLevelType w:val="multilevel"/>
    <w:tmpl w:val="754C805E"/>
    <w:lvl w:ilvl="0">
      <w:start w:val="1"/>
      <w:numFmt w:val="upperRoman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  <w:sz w:val="22"/>
      </w:rPr>
    </w:lvl>
    <w:lvl w:ilvl="2">
      <w:start w:val="1"/>
      <w:numFmt w:val="decimal"/>
      <w:lvlText w:val="%2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62757AB5"/>
    <w:multiLevelType w:val="hybridMultilevel"/>
    <w:tmpl w:val="178012BE"/>
    <w:lvl w:ilvl="0" w:tplc="D0909E80">
      <w:numFmt w:val="bullet"/>
      <w:lvlText w:val="-"/>
      <w:lvlJc w:val="left"/>
      <w:pPr>
        <w:ind w:left="720" w:hanging="360"/>
      </w:pPr>
      <w:rPr>
        <w:rFonts w:ascii="Times New Roman" w:eastAsia="Andale Sans U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6021"/>
    <w:rsid w:val="000235D9"/>
    <w:rsid w:val="000240C7"/>
    <w:rsid w:val="00034A1A"/>
    <w:rsid w:val="00044A1B"/>
    <w:rsid w:val="00044C0F"/>
    <w:rsid w:val="000703BD"/>
    <w:rsid w:val="00081F82"/>
    <w:rsid w:val="001C77A7"/>
    <w:rsid w:val="001E11F6"/>
    <w:rsid w:val="002303AA"/>
    <w:rsid w:val="002548C2"/>
    <w:rsid w:val="00276E4A"/>
    <w:rsid w:val="003045EF"/>
    <w:rsid w:val="00351AE3"/>
    <w:rsid w:val="00370D84"/>
    <w:rsid w:val="003B68DE"/>
    <w:rsid w:val="003C519B"/>
    <w:rsid w:val="003C7A90"/>
    <w:rsid w:val="00435686"/>
    <w:rsid w:val="00436021"/>
    <w:rsid w:val="004C3344"/>
    <w:rsid w:val="004D4936"/>
    <w:rsid w:val="004F4437"/>
    <w:rsid w:val="00503A4B"/>
    <w:rsid w:val="00515577"/>
    <w:rsid w:val="00524ADE"/>
    <w:rsid w:val="0056050C"/>
    <w:rsid w:val="005646C3"/>
    <w:rsid w:val="005A17DD"/>
    <w:rsid w:val="005A2343"/>
    <w:rsid w:val="005A7EF9"/>
    <w:rsid w:val="005B4700"/>
    <w:rsid w:val="005E381A"/>
    <w:rsid w:val="005F592D"/>
    <w:rsid w:val="006143F1"/>
    <w:rsid w:val="006463B4"/>
    <w:rsid w:val="00651C30"/>
    <w:rsid w:val="00660B42"/>
    <w:rsid w:val="00696635"/>
    <w:rsid w:val="006D6904"/>
    <w:rsid w:val="007046A2"/>
    <w:rsid w:val="007228C2"/>
    <w:rsid w:val="007336C9"/>
    <w:rsid w:val="00734E6F"/>
    <w:rsid w:val="00757379"/>
    <w:rsid w:val="007723FE"/>
    <w:rsid w:val="00773433"/>
    <w:rsid w:val="00787658"/>
    <w:rsid w:val="007A0982"/>
    <w:rsid w:val="007B5B49"/>
    <w:rsid w:val="007C2A95"/>
    <w:rsid w:val="0086739F"/>
    <w:rsid w:val="00872DE3"/>
    <w:rsid w:val="00883236"/>
    <w:rsid w:val="008849D2"/>
    <w:rsid w:val="00884F29"/>
    <w:rsid w:val="008A6A12"/>
    <w:rsid w:val="008B6BDB"/>
    <w:rsid w:val="008C07B7"/>
    <w:rsid w:val="008C3073"/>
    <w:rsid w:val="008F2750"/>
    <w:rsid w:val="00955D55"/>
    <w:rsid w:val="009740B9"/>
    <w:rsid w:val="009747BF"/>
    <w:rsid w:val="0099468B"/>
    <w:rsid w:val="009B76C0"/>
    <w:rsid w:val="00A01CBA"/>
    <w:rsid w:val="00A22FDC"/>
    <w:rsid w:val="00A640E6"/>
    <w:rsid w:val="00A732F4"/>
    <w:rsid w:val="00A748A2"/>
    <w:rsid w:val="00A86886"/>
    <w:rsid w:val="00A90491"/>
    <w:rsid w:val="00AF4A4A"/>
    <w:rsid w:val="00B02C18"/>
    <w:rsid w:val="00B2250E"/>
    <w:rsid w:val="00B47CBF"/>
    <w:rsid w:val="00B47CD1"/>
    <w:rsid w:val="00BB15A4"/>
    <w:rsid w:val="00BB5B6A"/>
    <w:rsid w:val="00BD2B7B"/>
    <w:rsid w:val="00BD6560"/>
    <w:rsid w:val="00C7783F"/>
    <w:rsid w:val="00C85CF9"/>
    <w:rsid w:val="00C9650A"/>
    <w:rsid w:val="00CA7119"/>
    <w:rsid w:val="00CD6391"/>
    <w:rsid w:val="00CE1F7D"/>
    <w:rsid w:val="00CF2D92"/>
    <w:rsid w:val="00CF6E0E"/>
    <w:rsid w:val="00D544C7"/>
    <w:rsid w:val="00E2091D"/>
    <w:rsid w:val="00EA2691"/>
    <w:rsid w:val="00EB41B5"/>
    <w:rsid w:val="00EB66CF"/>
    <w:rsid w:val="00EC67C5"/>
    <w:rsid w:val="00F03DDB"/>
    <w:rsid w:val="00F76499"/>
    <w:rsid w:val="00F779DB"/>
    <w:rsid w:val="00F906FF"/>
    <w:rsid w:val="00FA38AE"/>
    <w:rsid w:val="00FC7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C2EA3-BBEC-4513-8393-6630CD7A0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7A9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ListParagraph1">
    <w:name w:val="List Paragraph1"/>
    <w:basedOn w:val="Normalny"/>
    <w:rsid w:val="00436021"/>
    <w:pPr>
      <w:spacing w:after="0" w:line="240" w:lineRule="auto"/>
      <w:ind w:left="720"/>
      <w:contextualSpacing/>
    </w:pPr>
    <w:rPr>
      <w:rFonts w:ascii="Cambria" w:eastAsia="MS Mincho" w:hAnsi="Cambria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1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43602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1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228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228C2"/>
    <w:rPr>
      <w:rFonts w:ascii="Tahoma" w:hAnsi="Tahoma" w:cs="Tahoma"/>
      <w:sz w:val="16"/>
      <w:szCs w:val="16"/>
      <w:lang w:eastAsia="en-US"/>
    </w:rPr>
  </w:style>
  <w:style w:type="paragraph" w:styleId="Akapitzlist">
    <w:name w:val="List Paragraph"/>
    <w:basedOn w:val="Normalny"/>
    <w:uiPriority w:val="34"/>
    <w:qFormat/>
    <w:rsid w:val="009740B9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02C1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02C1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02C18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02C1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02C18"/>
    <w:rPr>
      <w:b/>
      <w:bCs/>
      <w:lang w:eastAsia="en-US"/>
    </w:rPr>
  </w:style>
  <w:style w:type="paragraph" w:customStyle="1" w:styleId="Standard">
    <w:name w:val="Standard"/>
    <w:rsid w:val="00787658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86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1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581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0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40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1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45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17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04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797C66-EF82-42AF-AC9C-6FDF3361ED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16</Pages>
  <Words>3782</Words>
  <Characters>22695</Characters>
  <Application>Microsoft Office Word</Application>
  <DocSecurity>0</DocSecurity>
  <Lines>189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Kowalewska</dc:creator>
  <cp:lastModifiedBy>ZOZ Łapy</cp:lastModifiedBy>
  <cp:revision>3</cp:revision>
  <dcterms:created xsi:type="dcterms:W3CDTF">2020-04-29T12:01:00Z</dcterms:created>
  <dcterms:modified xsi:type="dcterms:W3CDTF">2020-05-04T06:12:00Z</dcterms:modified>
</cp:coreProperties>
</file>