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7770DDF0" w14:textId="115845B0" w:rsidR="00654545" w:rsidRDefault="008534ED" w:rsidP="00D07C07">
      <w:pPr>
        <w:spacing w:after="0" w:line="240" w:lineRule="auto"/>
        <w:ind w:firstLine="708"/>
        <w:jc w:val="center"/>
        <w:rPr>
          <w:rFonts w:cs="Calibri"/>
          <w:b/>
        </w:rPr>
      </w:pPr>
      <w:bookmarkStart w:id="0" w:name="_Hlk3376051"/>
      <w:r w:rsidRPr="008534ED">
        <w:rPr>
          <w:rFonts w:cs="Calibri"/>
          <w:b/>
        </w:rPr>
        <w:t xml:space="preserve">„Dzierżawa aparatów do hemodializy z </w:t>
      </w:r>
      <w:r w:rsidR="00654545">
        <w:rPr>
          <w:rFonts w:cs="Calibri"/>
          <w:b/>
        </w:rPr>
        <w:t>dostawą</w:t>
      </w:r>
      <w:r w:rsidRPr="008534ED">
        <w:rPr>
          <w:rFonts w:cs="Calibri"/>
          <w:b/>
        </w:rPr>
        <w:t xml:space="preserve"> </w:t>
      </w:r>
      <w:r w:rsidR="00654545">
        <w:rPr>
          <w:rFonts w:cs="Calibri"/>
          <w:b/>
        </w:rPr>
        <w:t>materiałów,</w:t>
      </w:r>
    </w:p>
    <w:p w14:paraId="6984FADA" w14:textId="116C2DEB" w:rsidR="00654545" w:rsidRDefault="008534ED" w:rsidP="00D07C07">
      <w:pPr>
        <w:spacing w:after="0" w:line="240" w:lineRule="auto"/>
        <w:ind w:firstLine="708"/>
        <w:jc w:val="center"/>
        <w:rPr>
          <w:rFonts w:cs="Calibri"/>
          <w:b/>
        </w:rPr>
      </w:pPr>
      <w:r w:rsidRPr="008534ED">
        <w:rPr>
          <w:rFonts w:cs="Calibri"/>
          <w:b/>
        </w:rPr>
        <w:t xml:space="preserve">dzierżawa aparatu do terapii nerkozastępczej z dostawą materiałów, </w:t>
      </w:r>
    </w:p>
    <w:p w14:paraId="00A751D6" w14:textId="7E2A4D82" w:rsidR="00F052BE" w:rsidRPr="00D07C07" w:rsidRDefault="008534ED" w:rsidP="00D07C07">
      <w:pPr>
        <w:spacing w:after="0" w:line="240" w:lineRule="auto"/>
        <w:ind w:firstLine="708"/>
        <w:jc w:val="center"/>
        <w:rPr>
          <w:rFonts w:cs="Calibri"/>
          <w:b/>
        </w:rPr>
      </w:pPr>
      <w:r w:rsidRPr="008534ED">
        <w:rPr>
          <w:rFonts w:cs="Calibri"/>
          <w:b/>
        </w:rPr>
        <w:t>dostawa materiałów do aparatów będących własnością SPZOZ w Łapach</w:t>
      </w:r>
      <w:r w:rsidR="00357B76" w:rsidRPr="00D07C07">
        <w:rPr>
          <w:rFonts w:cs="Calibri"/>
          <w:b/>
        </w:rPr>
        <w:t>”</w:t>
      </w:r>
    </w:p>
    <w:bookmarkEnd w:id="0"/>
    <w:p w14:paraId="2DFB2B67" w14:textId="77777777" w:rsidR="00BA2F32" w:rsidRPr="007041AD" w:rsidRDefault="00BA2F32" w:rsidP="00BA2F32">
      <w:pPr>
        <w:spacing w:after="0" w:line="240" w:lineRule="auto"/>
        <w:jc w:val="center"/>
        <w:rPr>
          <w:rFonts w:cs="Calibri"/>
        </w:rPr>
      </w:pPr>
    </w:p>
    <w:p w14:paraId="17BCCBCA" w14:textId="77777777"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9B00FC">
        <w:rPr>
          <w:rFonts w:cs="Calibri"/>
          <w:b/>
          <w:color w:val="000000"/>
        </w:rPr>
        <w:t>7/2019</w:t>
      </w:r>
      <w:r w:rsidR="00CC550B" w:rsidRPr="007041AD">
        <w:rPr>
          <w:rFonts w:cs="Calibri"/>
          <w:b/>
          <w:color w:val="000000"/>
        </w:rPr>
        <w:t>/PN</w:t>
      </w:r>
      <w:r w:rsidRPr="007041AD">
        <w:rPr>
          <w:rFonts w:cs="Calibri"/>
          <w:sz w:val="24"/>
          <w:szCs w:val="24"/>
        </w:rPr>
        <w:t>)</w:t>
      </w:r>
    </w:p>
    <w:p w14:paraId="40E2BA4B" w14:textId="77777777" w:rsidR="00DD124A" w:rsidRPr="007041AD" w:rsidRDefault="00DD124A" w:rsidP="00D47093">
      <w:pPr>
        <w:spacing w:line="240" w:lineRule="auto"/>
        <w:jc w:val="center"/>
        <w:rPr>
          <w:rFonts w:cs="Calibri"/>
          <w:b/>
        </w:rPr>
      </w:pPr>
    </w:p>
    <w:p w14:paraId="5511B064" w14:textId="008F7F39" w:rsidR="00BA2F32" w:rsidRDefault="00BA2F32" w:rsidP="00D47093">
      <w:pPr>
        <w:spacing w:line="240" w:lineRule="auto"/>
        <w:jc w:val="center"/>
        <w:rPr>
          <w:rFonts w:cs="Calibri"/>
        </w:rPr>
      </w:pPr>
    </w:p>
    <w:p w14:paraId="1C10630F" w14:textId="3BB4F684" w:rsidR="00B42401" w:rsidRDefault="00B42401" w:rsidP="00D47093">
      <w:pPr>
        <w:spacing w:line="240" w:lineRule="auto"/>
        <w:jc w:val="center"/>
        <w:rPr>
          <w:rFonts w:cs="Calibri"/>
        </w:rPr>
      </w:pPr>
    </w:p>
    <w:p w14:paraId="2861F08C" w14:textId="77777777" w:rsidR="00B42401" w:rsidRPr="007041AD" w:rsidRDefault="00B42401" w:rsidP="00B42401">
      <w:pPr>
        <w:spacing w:line="240" w:lineRule="auto"/>
        <w:jc w:val="center"/>
        <w:rPr>
          <w:rFonts w:cs="Calibri"/>
        </w:rPr>
      </w:pPr>
    </w:p>
    <w:p w14:paraId="5B41EF7C" w14:textId="77777777" w:rsidR="00A42616" w:rsidRDefault="00A42616" w:rsidP="00B42401">
      <w:pPr>
        <w:spacing w:line="240" w:lineRule="auto"/>
        <w:jc w:val="center"/>
        <w:rPr>
          <w:rFonts w:cs="Calibri"/>
          <w:b/>
        </w:rPr>
      </w:pPr>
      <w:r>
        <w:rPr>
          <w:rFonts w:cs="Calibri"/>
        </w:rPr>
        <w:t xml:space="preserve">Ogłoszenie o zamówieniu opublikowane w witrynie TED pod numerem: </w:t>
      </w:r>
      <w:r>
        <w:rPr>
          <w:rFonts w:cs="Calibri"/>
          <w:b/>
        </w:rPr>
        <w:t>2019/S 059-136011</w:t>
      </w:r>
    </w:p>
    <w:p w14:paraId="0B8D4CFB" w14:textId="77777777" w:rsidR="00A42616" w:rsidRDefault="00A42616" w:rsidP="00B42401">
      <w:pPr>
        <w:spacing w:line="240" w:lineRule="auto"/>
        <w:jc w:val="center"/>
        <w:rPr>
          <w:rFonts w:cs="Calibri"/>
        </w:rPr>
      </w:pPr>
      <w:r>
        <w:rPr>
          <w:rFonts w:cs="Calibri"/>
        </w:rPr>
        <w:t xml:space="preserve">Identyfikator postępowania (miniPortal): </w:t>
      </w:r>
      <w:r>
        <w:rPr>
          <w:b/>
        </w:rPr>
        <w:t>38721b33-3e55-4f93-a30d-093bf17da42f</w:t>
      </w:r>
    </w:p>
    <w:p w14:paraId="22A8C618" w14:textId="77777777" w:rsidR="00BA2F32" w:rsidRPr="007041AD" w:rsidRDefault="00BA2F32" w:rsidP="00D47093">
      <w:pPr>
        <w:spacing w:line="240" w:lineRule="auto"/>
        <w:jc w:val="center"/>
        <w:rPr>
          <w:rFonts w:cs="Calibri"/>
        </w:rPr>
      </w:pPr>
    </w:p>
    <w:p w14:paraId="3FC4516C" w14:textId="77777777" w:rsidR="00BA2F32" w:rsidRPr="007041AD" w:rsidRDefault="00BA2F32" w:rsidP="00D47093">
      <w:pPr>
        <w:spacing w:line="240" w:lineRule="auto"/>
        <w:jc w:val="center"/>
        <w:rPr>
          <w:rFonts w:cs="Calibri"/>
        </w:rPr>
      </w:pPr>
    </w:p>
    <w:p w14:paraId="30188D70" w14:textId="77777777" w:rsidR="00BA2F32" w:rsidRPr="007041AD" w:rsidRDefault="00BA2F32" w:rsidP="00B42401">
      <w:pPr>
        <w:spacing w:line="240" w:lineRule="auto"/>
        <w:rPr>
          <w:rFonts w:cs="Calibri"/>
        </w:rPr>
      </w:pPr>
    </w:p>
    <w:p w14:paraId="38F6BBE8" w14:textId="77777777" w:rsidR="00BA2F32" w:rsidRPr="007041AD" w:rsidRDefault="00BA2F32" w:rsidP="00D47093">
      <w:pPr>
        <w:spacing w:line="240" w:lineRule="auto"/>
        <w:jc w:val="center"/>
        <w:rPr>
          <w:rFonts w:cs="Calibri"/>
        </w:rPr>
      </w:pPr>
    </w:p>
    <w:p w14:paraId="6C93924A" w14:textId="77777777" w:rsidR="00BA2F32" w:rsidRPr="007041AD" w:rsidRDefault="00BA2F32" w:rsidP="00D47093">
      <w:pPr>
        <w:spacing w:line="240" w:lineRule="auto"/>
        <w:jc w:val="center"/>
        <w:rPr>
          <w:rFonts w:cs="Calibri"/>
        </w:rPr>
      </w:pPr>
    </w:p>
    <w:p w14:paraId="74600702"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77777777" w:rsidR="00CC550B" w:rsidRPr="007041AD" w:rsidRDefault="00CC550B"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041AD" w:rsidRDefault="007A0986" w:rsidP="00D47093">
      <w:pPr>
        <w:spacing w:line="240" w:lineRule="auto"/>
        <w:jc w:val="center"/>
        <w:rPr>
          <w:rFonts w:cs="Calibri"/>
        </w:rPr>
      </w:pPr>
    </w:p>
    <w:p w14:paraId="086D3B69" w14:textId="734616E2" w:rsidR="00ED1408" w:rsidRPr="00173684" w:rsidRDefault="00CC550B" w:rsidP="007A0986">
      <w:pPr>
        <w:spacing w:line="240" w:lineRule="auto"/>
        <w:jc w:val="center"/>
        <w:rPr>
          <w:rFonts w:cs="Calibri"/>
        </w:rPr>
      </w:pPr>
      <w:r w:rsidRPr="000272AF">
        <w:rPr>
          <w:rFonts w:cs="Calibri"/>
        </w:rPr>
        <w:t>Łapy</w:t>
      </w:r>
      <w:r w:rsidR="00ED1408" w:rsidRPr="000272AF">
        <w:rPr>
          <w:rFonts w:cs="Calibri"/>
        </w:rPr>
        <w:t xml:space="preserve">, dnia </w:t>
      </w:r>
      <w:r w:rsidR="000272AF" w:rsidRPr="000272AF">
        <w:rPr>
          <w:rFonts w:cs="Calibri"/>
        </w:rPr>
        <w:t>25.03.</w:t>
      </w:r>
      <w:r w:rsidR="009B00FC" w:rsidRPr="000272AF">
        <w:rPr>
          <w:rFonts w:cs="Calibri"/>
        </w:rPr>
        <w:t xml:space="preserve">2019 </w:t>
      </w:r>
      <w:r w:rsidR="00ED1408" w:rsidRPr="000272AF">
        <w:rPr>
          <w:rFonts w:cs="Calibri"/>
        </w:rPr>
        <w:t>r.</w:t>
      </w:r>
    </w:p>
    <w:p w14:paraId="721D6443" w14:textId="77777777" w:rsidR="00ED1408" w:rsidRPr="007041AD" w:rsidRDefault="00ED1408" w:rsidP="00A42616">
      <w:pPr>
        <w:spacing w:line="240" w:lineRule="auto"/>
        <w:rPr>
          <w:rFonts w:cs="Calibri"/>
        </w:rPr>
      </w:pP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77777777"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77777777"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14:paraId="5B5139BD" w14:textId="77777777"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14:paraId="5620F8E0" w14:textId="77777777"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9B00FC">
        <w:rPr>
          <w:rFonts w:cs="Calibri"/>
          <w:b/>
          <w:color w:val="000000"/>
        </w:rPr>
        <w:t>7</w:t>
      </w:r>
      <w:r w:rsidR="00CC550B" w:rsidRPr="007041AD">
        <w:rPr>
          <w:rFonts w:cs="Calibri"/>
          <w:b/>
          <w:color w:val="000000"/>
        </w:rPr>
        <w:t>/201</w:t>
      </w:r>
      <w:r w:rsidR="009B00FC">
        <w:rPr>
          <w:rFonts w:cs="Calibri"/>
          <w:b/>
          <w:color w:val="000000"/>
        </w:rPr>
        <w:t>9</w:t>
      </w:r>
      <w:r w:rsidR="00CC550B" w:rsidRPr="007041AD">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750B3DEF" w14:textId="3AFECF74" w:rsidR="009B00FC" w:rsidRDefault="009B00FC">
      <w:pPr>
        <w:spacing w:line="240" w:lineRule="auto"/>
        <w:jc w:val="both"/>
        <w:rPr>
          <w:rFonts w:cs="Calibri"/>
        </w:rPr>
      </w:pPr>
      <w:r w:rsidRPr="007041AD">
        <w:rPr>
          <w:rStyle w:val="Nagwek2Znak"/>
          <w:rFonts w:ascii="Calibri" w:eastAsia="Calibri" w:hAnsi="Calibri" w:cs="Calibri"/>
        </w:rPr>
        <w:t>3.1.</w:t>
      </w:r>
      <w:r w:rsidRPr="007041AD">
        <w:rPr>
          <w:rFonts w:cs="Calibri"/>
        </w:rPr>
        <w:t xml:space="preserve"> </w:t>
      </w:r>
      <w:r w:rsidRPr="009B00FC">
        <w:rPr>
          <w:rFonts w:cs="Calibri"/>
        </w:rPr>
        <w:t>Przedmiotem</w:t>
      </w:r>
      <w:r w:rsidR="00232164">
        <w:rPr>
          <w:rFonts w:cs="Calibri"/>
        </w:rPr>
        <w:t xml:space="preserve"> </w:t>
      </w:r>
      <w:r w:rsidRPr="009B00FC">
        <w:rPr>
          <w:rFonts w:cs="Calibri"/>
        </w:rPr>
        <w:t xml:space="preserve">zamówienia jest </w:t>
      </w:r>
      <w:r w:rsidR="007837FD">
        <w:rPr>
          <w:rFonts w:cs="Calibri"/>
        </w:rPr>
        <w:t>d</w:t>
      </w:r>
      <w:r w:rsidR="008534ED" w:rsidRPr="008534ED">
        <w:rPr>
          <w:rFonts w:cs="Calibri"/>
        </w:rPr>
        <w:t xml:space="preserve">zierżawa aparatów do hemodializy wraz z sukcesywną dostawą specjalistycznych zużywalnych materiałów technicznych i medycznych do ww. aparatów, dzierżawa aparatu do terapii nerkozastępczej wraz z sukcesywną dostawą specjalistycznych zużywalnych materiałów technicznych i medycznych do ww. aparatu, dostawa specjalistycznych zużywalnych materiałów technicznych i medycznych do aparatów będących własnością SP ZOZ w Łapach na 36 </w:t>
      </w:r>
      <w:r w:rsidR="008534ED" w:rsidRPr="008534ED">
        <w:rPr>
          <w:rFonts w:cs="Calibri"/>
        </w:rPr>
        <w:lastRenderedPageBreak/>
        <w:t xml:space="preserve">miesięcy </w:t>
      </w:r>
      <w:r w:rsidRPr="009B00FC">
        <w:rPr>
          <w:rFonts w:cs="Calibri"/>
        </w:rPr>
        <w:t>w</w:t>
      </w:r>
      <w:r w:rsidR="00232164">
        <w:rPr>
          <w:rFonts w:cs="Calibri"/>
        </w:rPr>
        <w:t xml:space="preserve"> </w:t>
      </w:r>
      <w:r w:rsidRPr="009B00FC">
        <w:rPr>
          <w:rFonts w:cs="Calibri"/>
        </w:rPr>
        <w:t xml:space="preserve">ilościach i asortymencie szczegółowo określonych w </w:t>
      </w:r>
      <w:r w:rsidRPr="00B91A07">
        <w:rPr>
          <w:rFonts w:cs="Calibri"/>
          <w:b/>
        </w:rPr>
        <w:t>Załączniku nr 1 do SIWZ</w:t>
      </w:r>
      <w:r w:rsidRPr="009B00FC">
        <w:rPr>
          <w:rFonts w:cs="Calibri"/>
        </w:rPr>
        <w:t xml:space="preserve"> - Formularz asortymentowo </w:t>
      </w:r>
      <w:r w:rsidR="003B1CBA">
        <w:rPr>
          <w:rFonts w:cs="Calibri"/>
        </w:rPr>
        <w:t>–</w:t>
      </w:r>
      <w:r w:rsidRPr="009B00FC">
        <w:rPr>
          <w:rFonts w:cs="Calibri"/>
        </w:rPr>
        <w:t xml:space="preserve"> cenowy</w:t>
      </w:r>
      <w:r w:rsidR="003B1CBA">
        <w:rPr>
          <w:rFonts w:cs="Calibri"/>
        </w:rPr>
        <w:t xml:space="preserve"> i </w:t>
      </w:r>
      <w:r w:rsidR="003B1CBA" w:rsidRPr="00636339">
        <w:rPr>
          <w:rFonts w:cs="Calibri"/>
        </w:rPr>
        <w:t>w</w:t>
      </w:r>
      <w:r w:rsidR="003B1CBA" w:rsidRPr="00636339">
        <w:rPr>
          <w:rFonts w:cs="Calibri"/>
          <w:b/>
        </w:rPr>
        <w:t xml:space="preserve"> Załączniku nr 1A do SIWZ – Opis Przedmiotu Zamówienia</w:t>
      </w:r>
      <w:r w:rsidR="007837FD">
        <w:rPr>
          <w:rFonts w:cs="Calibri"/>
          <w:b/>
        </w:rPr>
        <w:t xml:space="preserve">, </w:t>
      </w:r>
      <w:r w:rsidR="009B7BC0">
        <w:rPr>
          <w:rFonts w:cs="Calibri"/>
          <w:b/>
        </w:rPr>
        <w:br/>
      </w:r>
      <w:r w:rsidR="007837FD">
        <w:rPr>
          <w:rFonts w:cs="Calibri"/>
          <w:b/>
        </w:rPr>
        <w:t xml:space="preserve">z uwzględnieniem podziału na pakiety od 1 do 5 </w:t>
      </w:r>
      <w:r w:rsidR="007837FD" w:rsidRPr="007837FD">
        <w:rPr>
          <w:rFonts w:cs="Calibri"/>
        </w:rPr>
        <w:t>stanowiące odrębne zadania w przedmiotowym postępowaniu.</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C1764D" w:rsidRPr="00C1764D" w14:paraId="288B62CE" w14:textId="77777777" w:rsidTr="00C1764D">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BCF0E5B" w14:textId="77777777" w:rsidR="00C1764D" w:rsidRPr="00C1764D" w:rsidRDefault="00C1764D" w:rsidP="00C1764D">
            <w:pPr>
              <w:spacing w:line="240" w:lineRule="auto"/>
              <w:jc w:val="both"/>
              <w:rPr>
                <w:rFonts w:cs="Calibri"/>
                <w:b/>
                <w:bCs/>
              </w:rPr>
            </w:pPr>
            <w:r w:rsidRPr="00C1764D">
              <w:rPr>
                <w:rFonts w:cs="Calibri"/>
                <w:b/>
                <w:bCs/>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11669C6B" w14:textId="5C75F78F" w:rsidR="00C1764D" w:rsidRPr="00C1764D" w:rsidRDefault="00C1764D" w:rsidP="00C1764D">
            <w:pPr>
              <w:spacing w:line="240" w:lineRule="auto"/>
              <w:jc w:val="both"/>
              <w:rPr>
                <w:rFonts w:cs="Calibri"/>
                <w:b/>
                <w:bCs/>
              </w:rPr>
            </w:pPr>
            <w:r>
              <w:rPr>
                <w:rFonts w:cs="Calibri"/>
                <w:b/>
                <w:bCs/>
              </w:rPr>
              <w:t>Nazwa Pakietu</w:t>
            </w:r>
          </w:p>
        </w:tc>
      </w:tr>
      <w:tr w:rsidR="00C1764D" w:rsidRPr="00C1764D" w14:paraId="43B79E55"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65A3994" w14:textId="77777777" w:rsidR="00C1764D" w:rsidRPr="00C1764D" w:rsidRDefault="00C1764D" w:rsidP="00C1764D">
            <w:pPr>
              <w:spacing w:line="240" w:lineRule="auto"/>
              <w:jc w:val="both"/>
              <w:rPr>
                <w:rFonts w:cs="Calibri"/>
                <w:b/>
              </w:rPr>
            </w:pPr>
            <w:r w:rsidRPr="00C1764D">
              <w:rPr>
                <w:rFonts w:cs="Calibr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4E5F93D8" w14:textId="6900970C" w:rsidR="00C1764D" w:rsidRPr="00C1764D" w:rsidRDefault="00516078" w:rsidP="00C1764D">
            <w:pPr>
              <w:spacing w:line="240" w:lineRule="auto"/>
              <w:jc w:val="both"/>
              <w:rPr>
                <w:rFonts w:cs="Calibri"/>
              </w:rPr>
            </w:pPr>
            <w:r w:rsidRPr="00516078">
              <w:rPr>
                <w:rFonts w:cs="Calibri"/>
              </w:rPr>
              <w:t>Dzierżawa aparatów do hemodializy i dostawa materiałów zużywalnych do ww. aparatów</w:t>
            </w:r>
          </w:p>
        </w:tc>
      </w:tr>
      <w:tr w:rsidR="00C1764D" w:rsidRPr="00C1764D" w14:paraId="7475FD81"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6420D0D" w14:textId="77777777" w:rsidR="00C1764D" w:rsidRPr="00C1764D" w:rsidRDefault="00C1764D" w:rsidP="00C1764D">
            <w:pPr>
              <w:spacing w:line="240" w:lineRule="auto"/>
              <w:jc w:val="both"/>
              <w:rPr>
                <w:rFonts w:cs="Calibri"/>
                <w:b/>
              </w:rPr>
            </w:pPr>
            <w:r w:rsidRPr="00C1764D">
              <w:rPr>
                <w:rFonts w:cs="Calibri"/>
                <w:b/>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5EFB9452" w14:textId="74612BCC" w:rsidR="00C1764D" w:rsidRPr="00C1764D" w:rsidRDefault="00D52824" w:rsidP="00C1764D">
            <w:pPr>
              <w:spacing w:line="240" w:lineRule="auto"/>
              <w:jc w:val="both"/>
              <w:rPr>
                <w:rFonts w:cs="Calibri"/>
              </w:rPr>
            </w:pPr>
            <w:r w:rsidRPr="00D52824">
              <w:rPr>
                <w:rFonts w:cs="Calibri"/>
              </w:rPr>
              <w:t>Dostawa dializatorów</w:t>
            </w:r>
          </w:p>
        </w:tc>
      </w:tr>
      <w:tr w:rsidR="00C1764D" w:rsidRPr="00C1764D" w14:paraId="7234C4C4"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D8B3765" w14:textId="77777777" w:rsidR="00C1764D" w:rsidRPr="00C1764D" w:rsidRDefault="00C1764D" w:rsidP="00C1764D">
            <w:pPr>
              <w:spacing w:line="240" w:lineRule="auto"/>
              <w:jc w:val="both"/>
              <w:rPr>
                <w:rFonts w:cs="Calibri"/>
                <w:b/>
              </w:rPr>
            </w:pPr>
            <w:r w:rsidRPr="00C1764D">
              <w:rPr>
                <w:rFonts w:cs="Calibri"/>
                <w:b/>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10D90F83" w14:textId="2CA990F7" w:rsidR="00C1764D" w:rsidRPr="00C1764D" w:rsidRDefault="00D52824" w:rsidP="00C1764D">
            <w:pPr>
              <w:spacing w:line="240" w:lineRule="auto"/>
              <w:jc w:val="both"/>
              <w:rPr>
                <w:rFonts w:cs="Calibri"/>
              </w:rPr>
            </w:pPr>
            <w:r w:rsidRPr="00D52824">
              <w:rPr>
                <w:rFonts w:cs="Calibri"/>
              </w:rPr>
              <w:t>Dostawa igieł do hemodializy</w:t>
            </w:r>
          </w:p>
        </w:tc>
      </w:tr>
      <w:tr w:rsidR="00C1764D" w:rsidRPr="00C1764D" w14:paraId="6E6D62D3" w14:textId="77777777" w:rsidTr="00D52824">
        <w:trPr>
          <w:trHeight w:val="27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D6D8B89" w14:textId="77777777" w:rsidR="00C1764D" w:rsidRPr="00C1764D" w:rsidRDefault="00C1764D" w:rsidP="00C1764D">
            <w:pPr>
              <w:spacing w:line="240" w:lineRule="auto"/>
              <w:jc w:val="both"/>
              <w:rPr>
                <w:rFonts w:cs="Calibri"/>
                <w:b/>
              </w:rPr>
            </w:pPr>
            <w:r w:rsidRPr="00C1764D">
              <w:rPr>
                <w:rFonts w:cs="Calibri"/>
                <w:b/>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1E8EFC2F" w14:textId="068646BA" w:rsidR="00C1764D" w:rsidRPr="00C1764D" w:rsidRDefault="00D52824" w:rsidP="00C1764D">
            <w:pPr>
              <w:spacing w:line="240" w:lineRule="auto"/>
              <w:jc w:val="both"/>
              <w:rPr>
                <w:rFonts w:cs="Calibri"/>
              </w:rPr>
            </w:pPr>
            <w:r w:rsidRPr="00D52824">
              <w:rPr>
                <w:rFonts w:cs="Calibri"/>
              </w:rPr>
              <w:t>Dostawa kompletu linii krwi</w:t>
            </w:r>
          </w:p>
        </w:tc>
      </w:tr>
      <w:tr w:rsidR="00C1764D" w:rsidRPr="00C1764D" w14:paraId="1B6019DF"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5752AFD" w14:textId="77777777" w:rsidR="00C1764D" w:rsidRPr="00C1764D" w:rsidRDefault="00C1764D" w:rsidP="00C1764D">
            <w:pPr>
              <w:spacing w:line="240" w:lineRule="auto"/>
              <w:jc w:val="both"/>
              <w:rPr>
                <w:rFonts w:cs="Calibri"/>
                <w:b/>
              </w:rPr>
            </w:pPr>
            <w:r w:rsidRPr="00C1764D">
              <w:rPr>
                <w:rFonts w:cs="Calibri"/>
                <w:b/>
              </w:rPr>
              <w:t>Pakiet nr 5</w:t>
            </w:r>
          </w:p>
        </w:tc>
        <w:tc>
          <w:tcPr>
            <w:tcW w:w="7512" w:type="dxa"/>
            <w:tcBorders>
              <w:top w:val="nil"/>
              <w:left w:val="nil"/>
              <w:bottom w:val="single" w:sz="4" w:space="0" w:color="000000"/>
              <w:right w:val="single" w:sz="4" w:space="0" w:color="000000"/>
            </w:tcBorders>
            <w:shd w:val="clear" w:color="auto" w:fill="auto"/>
            <w:noWrap/>
            <w:vAlign w:val="center"/>
          </w:tcPr>
          <w:p w14:paraId="2AFF334F" w14:textId="4AE04847" w:rsidR="00C1764D" w:rsidRPr="00C1764D" w:rsidRDefault="00D52824" w:rsidP="00C1764D">
            <w:pPr>
              <w:spacing w:line="240" w:lineRule="auto"/>
              <w:jc w:val="both"/>
              <w:rPr>
                <w:rFonts w:cs="Calibri"/>
              </w:rPr>
            </w:pPr>
            <w:r>
              <w:rPr>
                <w:rFonts w:cs="Calibri"/>
              </w:rPr>
              <w:t>Dzierżawa aparatu</w:t>
            </w:r>
            <w:r w:rsidR="00C1764D" w:rsidRPr="00C1764D">
              <w:rPr>
                <w:rFonts w:cs="Calibri"/>
              </w:rPr>
              <w:t xml:space="preserve"> do terapii nerkozastępczej i</w:t>
            </w:r>
            <w:r>
              <w:rPr>
                <w:rFonts w:cs="Calibri"/>
              </w:rPr>
              <w:t xml:space="preserve"> dostawa</w:t>
            </w:r>
            <w:r w:rsidR="00C1764D" w:rsidRPr="00C1764D">
              <w:rPr>
                <w:rFonts w:cs="Calibri"/>
              </w:rPr>
              <w:t xml:space="preserve"> płyn</w:t>
            </w:r>
            <w:r>
              <w:rPr>
                <w:rFonts w:cs="Calibri"/>
              </w:rPr>
              <w:t>ów</w:t>
            </w:r>
            <w:r w:rsidR="00C1764D" w:rsidRPr="00C1764D">
              <w:rPr>
                <w:rFonts w:cs="Calibri"/>
              </w:rPr>
              <w:t>, zestaw</w:t>
            </w:r>
            <w:r>
              <w:rPr>
                <w:rFonts w:cs="Calibri"/>
              </w:rPr>
              <w:t xml:space="preserve">ów </w:t>
            </w:r>
            <w:r>
              <w:rPr>
                <w:rFonts w:cs="Calibri"/>
              </w:rPr>
              <w:br/>
            </w:r>
            <w:r w:rsidR="00C1764D" w:rsidRPr="00C1764D">
              <w:rPr>
                <w:rFonts w:cs="Calibri"/>
              </w:rPr>
              <w:t>i akcesori</w:t>
            </w:r>
            <w:r>
              <w:rPr>
                <w:rFonts w:cs="Calibri"/>
              </w:rPr>
              <w:t xml:space="preserve">ów </w:t>
            </w:r>
            <w:r w:rsidR="00C1764D" w:rsidRPr="00C1764D">
              <w:rPr>
                <w:rFonts w:cs="Calibri"/>
              </w:rPr>
              <w:t>zużywaln</w:t>
            </w:r>
            <w:r>
              <w:rPr>
                <w:rFonts w:cs="Calibri"/>
              </w:rPr>
              <w:t>ych</w:t>
            </w:r>
            <w:r w:rsidR="00C1764D" w:rsidRPr="00C1764D">
              <w:rPr>
                <w:rFonts w:cs="Calibri"/>
              </w:rPr>
              <w:t xml:space="preserve"> do terapii nerkozastępczej</w:t>
            </w:r>
          </w:p>
        </w:tc>
      </w:tr>
    </w:tbl>
    <w:p w14:paraId="10F47FE5" w14:textId="77777777" w:rsidR="00C1764D" w:rsidRDefault="00C1764D" w:rsidP="009B00FC">
      <w:pPr>
        <w:spacing w:line="240" w:lineRule="auto"/>
        <w:jc w:val="both"/>
        <w:rPr>
          <w:rFonts w:cs="Calibri"/>
        </w:rPr>
      </w:pPr>
    </w:p>
    <w:p w14:paraId="4B53ECEA" w14:textId="4D3C5393" w:rsidR="009B00FC" w:rsidRPr="009B00FC" w:rsidRDefault="009B00FC" w:rsidP="009B00FC">
      <w:pPr>
        <w:spacing w:line="240" w:lineRule="auto"/>
        <w:jc w:val="both"/>
        <w:rPr>
          <w:rFonts w:cs="Calibri"/>
        </w:rPr>
      </w:pPr>
      <w:r w:rsidRPr="009B00FC">
        <w:rPr>
          <w:rFonts w:cs="Calibri"/>
        </w:rPr>
        <w:t>2.</w:t>
      </w:r>
      <w:r>
        <w:rPr>
          <w:rFonts w:cs="Calibri"/>
        </w:rPr>
        <w:t xml:space="preserve"> </w:t>
      </w:r>
      <w:r w:rsidRPr="009B00FC">
        <w:rPr>
          <w:rFonts w:cs="Calibri"/>
        </w:rPr>
        <w:t xml:space="preserve">Dzierżawione aparaty </w:t>
      </w:r>
      <w:r w:rsidR="00302759">
        <w:rPr>
          <w:rFonts w:cs="Calibri"/>
        </w:rPr>
        <w:t>(</w:t>
      </w:r>
      <w:r w:rsidRPr="009B00FC">
        <w:rPr>
          <w:rFonts w:cs="Calibri"/>
        </w:rPr>
        <w:t>do hemodializy</w:t>
      </w:r>
      <w:r w:rsidR="00302759">
        <w:rPr>
          <w:rFonts w:cs="Calibri"/>
        </w:rPr>
        <w:t xml:space="preserve"> oraz terapii nerkozastępczej)</w:t>
      </w:r>
      <w:r w:rsidRPr="009B00FC">
        <w:rPr>
          <w:rFonts w:cs="Calibri"/>
        </w:rPr>
        <w:t xml:space="preserve"> zostaną dostarczone, zainstalowane i uruchomione w Łapach, przy ul. </w:t>
      </w:r>
      <w:r>
        <w:rPr>
          <w:rFonts w:cs="Calibri"/>
        </w:rPr>
        <w:t xml:space="preserve">J. </w:t>
      </w:r>
      <w:r w:rsidRPr="009B00FC">
        <w:rPr>
          <w:rFonts w:cs="Calibri"/>
        </w:rPr>
        <w:t xml:space="preserve">Korczaka 23, </w:t>
      </w:r>
      <w:r w:rsidRPr="00302759">
        <w:rPr>
          <w:rFonts w:cs="Calibri"/>
          <w:b/>
        </w:rPr>
        <w:t xml:space="preserve">w </w:t>
      </w:r>
      <w:r w:rsidR="00A374AC" w:rsidRPr="00302759">
        <w:rPr>
          <w:rFonts w:cs="Calibri"/>
          <w:b/>
        </w:rPr>
        <w:t xml:space="preserve">terminie </w:t>
      </w:r>
      <w:r w:rsidR="00C1764D">
        <w:rPr>
          <w:rFonts w:cs="Calibri"/>
          <w:b/>
        </w:rPr>
        <w:t>5</w:t>
      </w:r>
      <w:r w:rsidR="00A374AC" w:rsidRPr="00302759">
        <w:rPr>
          <w:rFonts w:cs="Calibri"/>
          <w:b/>
        </w:rPr>
        <w:t xml:space="preserve"> </w:t>
      </w:r>
      <w:r w:rsidRPr="00C1764D">
        <w:rPr>
          <w:rFonts w:cs="Calibri"/>
          <w:b/>
        </w:rPr>
        <w:t>dni</w:t>
      </w:r>
      <w:r w:rsidR="00C1764D" w:rsidRPr="00C1764D">
        <w:rPr>
          <w:rFonts w:cs="Calibri"/>
          <w:b/>
        </w:rPr>
        <w:t xml:space="preserve"> roboczych</w:t>
      </w:r>
      <w:r w:rsidR="00C1764D">
        <w:rPr>
          <w:rFonts w:cs="Calibri"/>
        </w:rPr>
        <w:t xml:space="preserve"> </w:t>
      </w:r>
      <w:r w:rsidRPr="009B00FC">
        <w:rPr>
          <w:rFonts w:cs="Calibri"/>
        </w:rPr>
        <w:t xml:space="preserve">od daty </w:t>
      </w:r>
      <w:r w:rsidR="00A374AC">
        <w:rPr>
          <w:rFonts w:cs="Calibri"/>
        </w:rPr>
        <w:t>zawarcia umowy;</w:t>
      </w:r>
      <w:r w:rsidRPr="009B00FC">
        <w:rPr>
          <w:rFonts w:cs="Calibri"/>
        </w:rPr>
        <w:t xml:space="preserve"> data podpisania protokołu zdawczo - odbiorczego rozpoczyna bieg okresu dzierżawy.</w:t>
      </w:r>
    </w:p>
    <w:p w14:paraId="6DB4A6D8" w14:textId="41E79A94" w:rsidR="009B00FC" w:rsidRPr="009B00FC" w:rsidRDefault="009B00FC" w:rsidP="009B00FC">
      <w:pPr>
        <w:spacing w:line="240" w:lineRule="auto"/>
        <w:jc w:val="both"/>
        <w:rPr>
          <w:rFonts w:cs="Calibri"/>
        </w:rPr>
      </w:pPr>
      <w:r w:rsidRPr="009B00FC">
        <w:rPr>
          <w:rFonts w:cs="Calibri"/>
        </w:rPr>
        <w:t>3.</w:t>
      </w:r>
      <w:r>
        <w:rPr>
          <w:rFonts w:cs="Calibri"/>
        </w:rPr>
        <w:t xml:space="preserve"> </w:t>
      </w:r>
      <w:r w:rsidRPr="009B00FC">
        <w:rPr>
          <w:rFonts w:cs="Calibri"/>
        </w:rPr>
        <w:t>Oferowane urządzenia mają być nowe</w:t>
      </w:r>
      <w:r w:rsidR="00A80D6B">
        <w:rPr>
          <w:rFonts w:cs="Calibri"/>
        </w:rPr>
        <w:t xml:space="preserve"> </w:t>
      </w:r>
      <w:r w:rsidR="00A80D6B" w:rsidRPr="005560C1">
        <w:rPr>
          <w:rFonts w:asciiTheme="minorHAnsi" w:hAnsiTheme="minorHAnsi"/>
        </w:rPr>
        <w:t>(rok produkcji nie wcześniej niż 2018 r.), kompletne, nieużywane, wolne od wad oraz gotowe do funkcjonowania bez żadnych inwestycji</w:t>
      </w:r>
      <w:r w:rsidRPr="009B00FC">
        <w:rPr>
          <w:rFonts w:cs="Calibri"/>
        </w:rPr>
        <w:t>, nie powystawowe</w:t>
      </w:r>
      <w:r w:rsidR="00A80D6B">
        <w:rPr>
          <w:rFonts w:cs="Calibri"/>
        </w:rPr>
        <w:t xml:space="preserve">. </w:t>
      </w:r>
      <w:r w:rsidRPr="009B00FC">
        <w:rPr>
          <w:rFonts w:cs="Calibri"/>
        </w:rPr>
        <w:t xml:space="preserve">Oferowane urządzenia muszą być dopuszczone do obrotu na podstawie obowiązujących przepisów prawa i odpowiadać wszelkim wymaganiom określonym przepisami prawa a w szczególności ustawą o wyrobach medycznych z dnia 20 maja 2010 r., </w:t>
      </w:r>
      <w:r w:rsidR="0055623E">
        <w:rPr>
          <w:rFonts w:cs="Calibri"/>
        </w:rPr>
        <w:t>(</w:t>
      </w:r>
      <w:r w:rsidR="0055623E" w:rsidRPr="0055623E">
        <w:rPr>
          <w:rFonts w:cs="Calibri"/>
        </w:rPr>
        <w:t xml:space="preserve">Dz.U.2019.175 tj. z dnia 2019.01.30) </w:t>
      </w:r>
      <w:r w:rsidRPr="009B00FC">
        <w:rPr>
          <w:rFonts w:cs="Calibri"/>
        </w:rPr>
        <w:t>oraz wolne od jakichkolwiek wad fizycznych lub prawnych. Urządzenia mają być kompletne, po zainstalowaniu gotowe do pracy, bez żadnych dodatkowych zakupów i inwestycji (poza materiałami eksploatacyjnymi).</w:t>
      </w:r>
    </w:p>
    <w:p w14:paraId="4671A481" w14:textId="77777777" w:rsidR="009B00FC" w:rsidRPr="00853D30" w:rsidRDefault="009B00FC" w:rsidP="009B00FC">
      <w:pPr>
        <w:spacing w:line="240" w:lineRule="auto"/>
        <w:jc w:val="both"/>
        <w:rPr>
          <w:rFonts w:cs="Calibri"/>
        </w:rPr>
      </w:pPr>
      <w:r w:rsidRPr="009B00FC">
        <w:rPr>
          <w:rFonts w:cs="Calibri"/>
        </w:rPr>
        <w:t>4.</w:t>
      </w:r>
      <w:r>
        <w:rPr>
          <w:rFonts w:cs="Calibri"/>
        </w:rPr>
        <w:t xml:space="preserve"> </w:t>
      </w:r>
      <w:r w:rsidRPr="009B00FC">
        <w:rPr>
          <w:rFonts w:cs="Calibri"/>
        </w:rPr>
        <w:t xml:space="preserve">Po zainstalowaniu i uruchomieniu sprzętu Wykonawca przeprowadzi na swój koszt szkolenie personelu obsługującego i technicznego, potwierdzone stosownym certyfikatem wraz z imienną listą </w:t>
      </w:r>
      <w:r w:rsidRPr="00853D30">
        <w:rPr>
          <w:rFonts w:cs="Calibri"/>
        </w:rPr>
        <w:t>przeszkolonych osób i przekazanie instrukcji w języku polskim.</w:t>
      </w:r>
    </w:p>
    <w:p w14:paraId="10C0C268" w14:textId="3925041B" w:rsidR="00C17F6C" w:rsidRPr="009B00FC" w:rsidRDefault="00C17F6C" w:rsidP="009B00FC">
      <w:pPr>
        <w:spacing w:line="240" w:lineRule="auto"/>
        <w:jc w:val="both"/>
        <w:rPr>
          <w:rFonts w:cs="Calibri"/>
        </w:rPr>
      </w:pPr>
      <w:r w:rsidRPr="00853D30">
        <w:rPr>
          <w:rFonts w:cs="Calibri"/>
        </w:rPr>
        <w:t xml:space="preserve">5. </w:t>
      </w:r>
      <w:bookmarkStart w:id="3" w:name="_Hlk3376552"/>
      <w:r w:rsidRPr="00853D30">
        <w:rPr>
          <w:rFonts w:cs="Calibri"/>
        </w:rPr>
        <w:t xml:space="preserve">Zamawiający wymaga zapewnienia przez Wykonawcę </w:t>
      </w:r>
      <w:r w:rsidR="009C72A8" w:rsidRPr="00232164">
        <w:rPr>
          <w:rFonts w:cs="Calibri"/>
        </w:rPr>
        <w:t xml:space="preserve">aparatu zastępczego </w:t>
      </w:r>
      <w:r w:rsidR="009C72A8" w:rsidRPr="002965DD">
        <w:rPr>
          <w:rFonts w:cs="Calibri"/>
          <w:b/>
        </w:rPr>
        <w:t>o parametrach tożsamych</w:t>
      </w:r>
      <w:r w:rsidR="009C72A8" w:rsidRPr="00216663">
        <w:rPr>
          <w:rFonts w:cs="Calibri"/>
        </w:rPr>
        <w:t xml:space="preserve"> względem</w:t>
      </w:r>
      <w:r w:rsidR="009C72A8" w:rsidRPr="002965DD">
        <w:rPr>
          <w:rFonts w:cs="Calibri"/>
          <w:b/>
        </w:rPr>
        <w:t xml:space="preserve"> </w:t>
      </w:r>
      <w:r w:rsidR="009C72A8" w:rsidRPr="00232164">
        <w:rPr>
          <w:rFonts w:cs="Calibri"/>
        </w:rPr>
        <w:t>urządzeni</w:t>
      </w:r>
      <w:r w:rsidR="009C72A8">
        <w:rPr>
          <w:rFonts w:cs="Calibri"/>
        </w:rPr>
        <w:t>a</w:t>
      </w:r>
      <w:r w:rsidR="009C72A8" w:rsidRPr="00232164">
        <w:rPr>
          <w:rFonts w:cs="Calibri"/>
        </w:rPr>
        <w:t xml:space="preserve"> dzierżawione</w:t>
      </w:r>
      <w:r w:rsidR="009C72A8">
        <w:rPr>
          <w:rFonts w:cs="Calibri"/>
        </w:rPr>
        <w:t xml:space="preserve">go </w:t>
      </w:r>
      <w:r w:rsidRPr="00853D30">
        <w:rPr>
          <w:rFonts w:cs="Calibri"/>
        </w:rPr>
        <w:t xml:space="preserve">na cały okres realizacji Przedmiotu Zamówienia, </w:t>
      </w:r>
      <w:r w:rsidR="009C72A8">
        <w:rPr>
          <w:rFonts w:cs="Calibri"/>
        </w:rPr>
        <w:br/>
      </w:r>
      <w:r w:rsidRPr="00853D30">
        <w:rPr>
          <w:rFonts w:cs="Calibri"/>
        </w:rPr>
        <w:t>w przypadku awarii dzierżawionego aparatu.</w:t>
      </w:r>
      <w:r>
        <w:rPr>
          <w:rFonts w:cs="Calibri"/>
        </w:rPr>
        <w:t xml:space="preserve"> </w:t>
      </w:r>
      <w:bookmarkEnd w:id="3"/>
    </w:p>
    <w:p w14:paraId="5C1EA8A3" w14:textId="77F289E5" w:rsidR="009B00FC" w:rsidRPr="009B00FC" w:rsidRDefault="00B14C62" w:rsidP="009B00FC">
      <w:pPr>
        <w:spacing w:line="240" w:lineRule="auto"/>
        <w:jc w:val="both"/>
        <w:rPr>
          <w:rFonts w:cs="Calibri"/>
        </w:rPr>
      </w:pPr>
      <w:r>
        <w:rPr>
          <w:rFonts w:cs="Calibri"/>
        </w:rPr>
        <w:t>6</w:t>
      </w:r>
      <w:r w:rsidR="00AB43FE">
        <w:rPr>
          <w:rFonts w:cs="Calibri"/>
        </w:rPr>
        <w:t xml:space="preserve">. </w:t>
      </w:r>
      <w:r w:rsidR="009B00FC" w:rsidRPr="009B00FC">
        <w:rPr>
          <w:rFonts w:cs="Calibri"/>
        </w:rPr>
        <w:t xml:space="preserve">W przypadku dostaw mniejszych niż opakowania handlowe, wymagane jest identyczne zabezpieczenie towarów jak w przypadku pełnych opakowań handlowych. Opakowania po zużytych kanistrach (do 6l) dopuszczonych, muszą być odbierane z siedziby Zamawiającego na koszt Wykonawcy. </w:t>
      </w:r>
    </w:p>
    <w:p w14:paraId="1F38684F" w14:textId="4ABF9908" w:rsidR="009B00FC" w:rsidRPr="00D67B9A" w:rsidRDefault="00B14C62" w:rsidP="009B00FC">
      <w:pPr>
        <w:spacing w:line="240" w:lineRule="auto"/>
        <w:jc w:val="both"/>
        <w:rPr>
          <w:rFonts w:cs="Calibri"/>
        </w:rPr>
      </w:pPr>
      <w:r w:rsidRPr="004D609A">
        <w:rPr>
          <w:rFonts w:cs="Calibri"/>
        </w:rPr>
        <w:t>7</w:t>
      </w:r>
      <w:r w:rsidR="009B00FC" w:rsidRPr="004D609A">
        <w:rPr>
          <w:rFonts w:cs="Calibri"/>
        </w:rPr>
        <w:t xml:space="preserve">. </w:t>
      </w:r>
      <w:bookmarkStart w:id="4" w:name="_Hlk3807957"/>
      <w:r w:rsidR="009B00FC" w:rsidRPr="004D609A">
        <w:rPr>
          <w:rFonts w:cs="Calibri"/>
        </w:rPr>
        <w:t>Okres ważności dostarczanych materiałów</w:t>
      </w:r>
      <w:r w:rsidR="00232164" w:rsidRPr="004D609A">
        <w:rPr>
          <w:rFonts w:cs="Calibri"/>
        </w:rPr>
        <w:t xml:space="preserve"> </w:t>
      </w:r>
      <w:r w:rsidR="009B00FC" w:rsidRPr="004D609A">
        <w:rPr>
          <w:rFonts w:cs="Calibri"/>
        </w:rPr>
        <w:t xml:space="preserve">zużywalnych nie może być krótszy niż </w:t>
      </w:r>
      <w:r w:rsidR="00287C40" w:rsidRPr="004D609A">
        <w:rPr>
          <w:rFonts w:cs="Calibri"/>
        </w:rPr>
        <w:t>3 miesiące liczone od daty dostawy</w:t>
      </w:r>
      <w:r w:rsidR="009B00FC" w:rsidRPr="004D609A">
        <w:rPr>
          <w:rFonts w:cs="Calibri"/>
        </w:rPr>
        <w:t>.</w:t>
      </w:r>
      <w:r w:rsidR="009B00FC" w:rsidRPr="00D67B9A">
        <w:rPr>
          <w:rFonts w:cs="Calibri"/>
        </w:rPr>
        <w:t xml:space="preserve"> </w:t>
      </w:r>
      <w:bookmarkEnd w:id="4"/>
    </w:p>
    <w:p w14:paraId="5206522D" w14:textId="00B63EB2" w:rsidR="009B00FC" w:rsidRPr="009B00FC" w:rsidRDefault="00B14C62" w:rsidP="009B00FC">
      <w:pPr>
        <w:spacing w:line="240" w:lineRule="auto"/>
        <w:jc w:val="both"/>
        <w:rPr>
          <w:rFonts w:cs="Calibri"/>
        </w:rPr>
      </w:pPr>
      <w:r>
        <w:rPr>
          <w:rFonts w:cs="Calibri"/>
        </w:rPr>
        <w:t>8</w:t>
      </w:r>
      <w:r w:rsidR="00232164">
        <w:rPr>
          <w:rFonts w:cs="Calibri"/>
        </w:rPr>
        <w:t xml:space="preserve">. </w:t>
      </w:r>
      <w:r w:rsidR="009B00FC" w:rsidRPr="009B00FC">
        <w:rPr>
          <w:rFonts w:cs="Calibri"/>
        </w:rPr>
        <w:t xml:space="preserve">Dokumenty dopuszczające zaoferowane wyroby tj.: deklaracje zgodności, certyfikaty CE, zgłoszenia/powiadomienia do Prezesa Urzędu Rejestracji Produktów Leczniczych, Wyrobów Medycznych i Produktów Biobójczych będą przedłożone na każde żądanie </w:t>
      </w:r>
      <w:r w:rsidR="00D67B9A" w:rsidRPr="00B14C62">
        <w:rPr>
          <w:rFonts w:cs="Calibri"/>
        </w:rPr>
        <w:t>Z</w:t>
      </w:r>
      <w:r w:rsidR="009B00FC" w:rsidRPr="009B00FC">
        <w:rPr>
          <w:rFonts w:cs="Calibri"/>
        </w:rPr>
        <w:t xml:space="preserve">amawiającego na każdym etapie postępowania w tym również w trakcie realizacji zamówienia. </w:t>
      </w:r>
    </w:p>
    <w:p w14:paraId="578B5A05" w14:textId="3299C886" w:rsidR="00EB356D" w:rsidRPr="007041AD" w:rsidRDefault="00B14C62" w:rsidP="00D47093">
      <w:pPr>
        <w:spacing w:line="240" w:lineRule="auto"/>
        <w:jc w:val="both"/>
        <w:rPr>
          <w:rFonts w:cs="Calibri"/>
        </w:rPr>
      </w:pPr>
      <w:r>
        <w:rPr>
          <w:rFonts w:cs="Calibri"/>
        </w:rPr>
        <w:t>9</w:t>
      </w:r>
      <w:r w:rsidR="00232164">
        <w:rPr>
          <w:rFonts w:cs="Calibri"/>
        </w:rPr>
        <w:t xml:space="preserve">. </w:t>
      </w:r>
      <w:r w:rsidR="008546E9" w:rsidRPr="007041AD">
        <w:rPr>
          <w:rFonts w:cs="Calibri"/>
        </w:rPr>
        <w:t>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lastRenderedPageBreak/>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3CBAD7B8" w14:textId="079ED06C" w:rsidR="00732F06" w:rsidRPr="00D07C07" w:rsidRDefault="00732F06" w:rsidP="00732F06">
      <w:pPr>
        <w:spacing w:line="240" w:lineRule="auto"/>
        <w:jc w:val="both"/>
        <w:rPr>
          <w:rFonts w:cs="Calibri"/>
          <w:b/>
        </w:rPr>
      </w:pPr>
      <w:r w:rsidRPr="00D07C07">
        <w:rPr>
          <w:rFonts w:cs="Calibri"/>
          <w:b/>
        </w:rPr>
        <w:t>33.18.15.20-3 Wyroby</w:t>
      </w:r>
      <w:r>
        <w:rPr>
          <w:rFonts w:cs="Calibri"/>
          <w:b/>
        </w:rPr>
        <w:t xml:space="preserve"> do</w:t>
      </w:r>
      <w:r w:rsidRPr="00D07C07">
        <w:rPr>
          <w:rFonts w:cs="Calibri"/>
          <w:b/>
        </w:rPr>
        <w:t xml:space="preserve"> </w:t>
      </w:r>
      <w:r>
        <w:rPr>
          <w:rFonts w:cs="Calibri"/>
          <w:b/>
        </w:rPr>
        <w:t xml:space="preserve">terapii </w:t>
      </w:r>
      <w:r w:rsidRPr="00D07C07">
        <w:rPr>
          <w:rFonts w:cs="Calibri"/>
          <w:b/>
        </w:rPr>
        <w:t>nerkowej</w:t>
      </w:r>
    </w:p>
    <w:p w14:paraId="392514AA" w14:textId="034E9F1A" w:rsidR="009B00FC" w:rsidRDefault="009B00FC" w:rsidP="00D47093">
      <w:pPr>
        <w:spacing w:line="240" w:lineRule="auto"/>
        <w:jc w:val="both"/>
        <w:rPr>
          <w:rFonts w:cs="Calibri"/>
        </w:rPr>
      </w:pPr>
      <w:r>
        <w:rPr>
          <w:rFonts w:cs="Calibri"/>
        </w:rPr>
        <w:t>b) Dodatkowy kod:</w:t>
      </w:r>
    </w:p>
    <w:p w14:paraId="2A83AE51" w14:textId="77777777" w:rsidR="00732F06" w:rsidRPr="00D07C07" w:rsidRDefault="00732F06" w:rsidP="00732F06">
      <w:pPr>
        <w:spacing w:line="240" w:lineRule="auto"/>
        <w:jc w:val="both"/>
        <w:rPr>
          <w:rFonts w:cs="Calibri"/>
          <w:b/>
        </w:rPr>
      </w:pPr>
      <w:r w:rsidRPr="00D07C07">
        <w:rPr>
          <w:rFonts w:cs="Calibri"/>
          <w:b/>
        </w:rPr>
        <w:t>33.18.11.00-3 Urządzenia do hemodializy</w:t>
      </w:r>
    </w:p>
    <w:p w14:paraId="5350CE19" w14:textId="6FCA6DB1"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14:paraId="5DFF6AB9" w14:textId="77777777" w:rsidR="009B00FC" w:rsidRPr="009B00FC" w:rsidRDefault="009B00FC" w:rsidP="00D07C07">
      <w:pPr>
        <w:pStyle w:val="Nagwek1"/>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 xml:space="preserve">Dostawy materiałów zużywalnych </w:t>
      </w:r>
      <w:r w:rsidRPr="00D07C07">
        <w:rPr>
          <w:rFonts w:ascii="Calibri" w:eastAsia="Calibri" w:hAnsi="Calibri" w:cs="Calibri"/>
          <w:b/>
          <w:color w:val="auto"/>
          <w:sz w:val="22"/>
          <w:szCs w:val="22"/>
        </w:rPr>
        <w:t xml:space="preserve">w okresie </w:t>
      </w:r>
      <w:r w:rsidR="003438DB" w:rsidRPr="00D07C07">
        <w:rPr>
          <w:rFonts w:ascii="Calibri" w:eastAsia="Calibri" w:hAnsi="Calibri" w:cs="Calibri"/>
          <w:b/>
          <w:color w:val="auto"/>
          <w:sz w:val="22"/>
          <w:szCs w:val="22"/>
        </w:rPr>
        <w:t>36</w:t>
      </w:r>
      <w:r w:rsidRPr="00D07C07">
        <w:rPr>
          <w:rFonts w:ascii="Calibri" w:eastAsia="Calibri" w:hAnsi="Calibri" w:cs="Calibri"/>
          <w:b/>
          <w:color w:val="auto"/>
          <w:sz w:val="22"/>
          <w:szCs w:val="22"/>
        </w:rPr>
        <w:t xml:space="preserve"> miesięcy będą realizowane sukcesywnie</w:t>
      </w:r>
      <w:r w:rsidRPr="009B00FC">
        <w:rPr>
          <w:rFonts w:ascii="Calibri" w:eastAsia="Calibri" w:hAnsi="Calibri" w:cs="Calibri"/>
          <w:color w:val="auto"/>
          <w:sz w:val="22"/>
          <w:szCs w:val="22"/>
        </w:rPr>
        <w:t xml:space="preserve"> od daty zawarcia umowy zgodnie z potrzebami Zamawiającego zgłaszanymi do Wykonawcy pisemnie, </w:t>
      </w:r>
      <w:r w:rsidR="003438DB">
        <w:rPr>
          <w:rFonts w:ascii="Calibri" w:eastAsia="Calibri" w:hAnsi="Calibri" w:cs="Calibri"/>
          <w:color w:val="auto"/>
          <w:sz w:val="22"/>
          <w:szCs w:val="22"/>
        </w:rPr>
        <w:br/>
      </w:r>
      <w:r w:rsidRPr="009B00FC">
        <w:rPr>
          <w:rFonts w:ascii="Calibri" w:eastAsia="Calibri" w:hAnsi="Calibri" w:cs="Calibri"/>
          <w:color w:val="auto"/>
          <w:sz w:val="22"/>
          <w:szCs w:val="22"/>
        </w:rPr>
        <w:t>e-mailem lub drogą faksową, w których Zamawiający wyszczególni:</w:t>
      </w:r>
    </w:p>
    <w:p w14:paraId="2AAE2CA6"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oznaczenie umowy w ramach której realizowane ma być zamówienie cząstkowe;</w:t>
      </w:r>
    </w:p>
    <w:p w14:paraId="76F3B64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asortyment i ilości dostawy;</w:t>
      </w:r>
    </w:p>
    <w:p w14:paraId="7EA53AD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wymagany termin realizacji dostawy;</w:t>
      </w:r>
    </w:p>
    <w:p w14:paraId="23CFB4B5" w14:textId="648CF2A2" w:rsidR="009B00FC" w:rsidRDefault="009B00FC" w:rsidP="009B00FC">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ewentualne inne, specyficzne warunki realizacji zamówienia.</w:t>
      </w:r>
    </w:p>
    <w:p w14:paraId="0E452D89" w14:textId="77777777" w:rsidR="006778A5" w:rsidRPr="006778A5" w:rsidRDefault="006778A5" w:rsidP="006778A5"/>
    <w:p w14:paraId="725452CD" w14:textId="77777777" w:rsidR="009B00FC" w:rsidRPr="00E4570A" w:rsidRDefault="009B00FC" w:rsidP="00D07C07">
      <w:pPr>
        <w:pStyle w:val="Nagwek1"/>
        <w:spacing w:before="0" w:line="240" w:lineRule="auto"/>
        <w:jc w:val="both"/>
        <w:rPr>
          <w:rFonts w:ascii="Calibri" w:eastAsia="Calibri" w:hAnsi="Calibri" w:cs="Calibri"/>
          <w:b/>
          <w:color w:val="auto"/>
          <w:sz w:val="22"/>
          <w:szCs w:val="22"/>
          <w:u w:val="single"/>
        </w:rPr>
      </w:pPr>
      <w:r w:rsidRPr="00E4570A">
        <w:rPr>
          <w:rFonts w:ascii="Calibri" w:eastAsia="Calibri" w:hAnsi="Calibri" w:cs="Calibri"/>
          <w:b/>
          <w:color w:val="auto"/>
          <w:sz w:val="22"/>
          <w:szCs w:val="22"/>
          <w:u w:val="single"/>
        </w:rPr>
        <w:t>Dostawy realizowane będą:</w:t>
      </w:r>
    </w:p>
    <w:p w14:paraId="27F97484" w14:textId="77777777"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a) </w:t>
      </w:r>
      <w:r w:rsidRPr="00216663">
        <w:rPr>
          <w:rFonts w:ascii="Calibri" w:eastAsia="Calibri" w:hAnsi="Calibri" w:cs="Calibri"/>
          <w:b/>
          <w:color w:val="auto"/>
          <w:sz w:val="22"/>
          <w:szCs w:val="22"/>
        </w:rPr>
        <w:t>Dostawy zużywalnych materiałów medycznych</w:t>
      </w:r>
      <w:r w:rsidR="00BA68B4" w:rsidRPr="00216663">
        <w:rPr>
          <w:rFonts w:ascii="Calibri" w:eastAsia="Calibri" w:hAnsi="Calibri" w:cs="Calibri"/>
          <w:b/>
          <w:color w:val="auto"/>
          <w:sz w:val="22"/>
          <w:szCs w:val="22"/>
        </w:rPr>
        <w:t xml:space="preserve"> </w:t>
      </w:r>
      <w:r w:rsidRPr="00216663">
        <w:rPr>
          <w:rFonts w:ascii="Calibri" w:eastAsia="Calibri" w:hAnsi="Calibri" w:cs="Calibri"/>
          <w:b/>
          <w:color w:val="auto"/>
          <w:sz w:val="22"/>
          <w:szCs w:val="22"/>
        </w:rPr>
        <w:t>i technicznych</w:t>
      </w:r>
      <w:r w:rsidRPr="00216663">
        <w:rPr>
          <w:rFonts w:ascii="Calibri" w:eastAsia="Calibri" w:hAnsi="Calibri" w:cs="Calibri"/>
          <w:color w:val="auto"/>
          <w:sz w:val="22"/>
          <w:szCs w:val="22"/>
        </w:rPr>
        <w:t xml:space="preserve"> </w:t>
      </w:r>
      <w:r w:rsidR="00E4570A" w:rsidRPr="00216663">
        <w:rPr>
          <w:rFonts w:ascii="Calibri" w:eastAsia="Calibri" w:hAnsi="Calibri" w:cs="Calibri"/>
          <w:color w:val="auto"/>
          <w:sz w:val="22"/>
          <w:szCs w:val="22"/>
        </w:rPr>
        <w:t xml:space="preserve">(materiały zużywalne do 8 szt. aparatów do hemodializy, dializatory, igły do hemodializy, komplet linii krwi, płyny, zestawy i akcesoria zużywalne do terapii nerkozastępczej) </w:t>
      </w:r>
      <w:r w:rsidRPr="00216663">
        <w:rPr>
          <w:rFonts w:ascii="Calibri" w:eastAsia="Calibri" w:hAnsi="Calibri" w:cs="Calibri"/>
          <w:color w:val="auto"/>
          <w:sz w:val="22"/>
          <w:szCs w:val="22"/>
        </w:rPr>
        <w:t xml:space="preserve">realizowane będą: </w:t>
      </w:r>
    </w:p>
    <w:p w14:paraId="27F7B11D" w14:textId="2D1A8FDB"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 sukcesywnie </w:t>
      </w:r>
      <w:bookmarkStart w:id="5" w:name="_Hlk3807862"/>
      <w:r w:rsidRPr="00216663">
        <w:rPr>
          <w:rFonts w:ascii="Calibri" w:eastAsia="Calibri" w:hAnsi="Calibri" w:cs="Calibri"/>
          <w:color w:val="auto"/>
          <w:sz w:val="22"/>
          <w:szCs w:val="22"/>
        </w:rPr>
        <w:t xml:space="preserve">w terminie </w:t>
      </w:r>
      <w:r w:rsidRPr="00216663">
        <w:rPr>
          <w:rFonts w:ascii="Calibri" w:eastAsia="Calibri" w:hAnsi="Calibri" w:cs="Calibri"/>
          <w:b/>
          <w:color w:val="auto"/>
          <w:sz w:val="22"/>
          <w:szCs w:val="22"/>
        </w:rPr>
        <w:t xml:space="preserve">do 3 dni </w:t>
      </w:r>
      <w:r w:rsidR="00216663" w:rsidRPr="00216663">
        <w:rPr>
          <w:rFonts w:ascii="Calibri" w:eastAsia="Calibri" w:hAnsi="Calibri" w:cs="Calibri"/>
          <w:b/>
          <w:color w:val="auto"/>
          <w:sz w:val="22"/>
          <w:szCs w:val="22"/>
        </w:rPr>
        <w:t>roboczych</w:t>
      </w:r>
      <w:r w:rsidR="00216663" w:rsidRPr="00216663">
        <w:rPr>
          <w:rFonts w:ascii="Calibri" w:eastAsia="Calibri" w:hAnsi="Calibri" w:cs="Calibri"/>
          <w:color w:val="auto"/>
          <w:sz w:val="22"/>
          <w:szCs w:val="22"/>
        </w:rPr>
        <w:t xml:space="preserve"> </w:t>
      </w:r>
      <w:r w:rsidRPr="00216663">
        <w:rPr>
          <w:rFonts w:ascii="Calibri" w:eastAsia="Calibri" w:hAnsi="Calibri" w:cs="Calibri"/>
          <w:color w:val="auto"/>
          <w:sz w:val="22"/>
          <w:szCs w:val="22"/>
        </w:rPr>
        <w:t>od dnia otrzymania zamówienia</w:t>
      </w:r>
      <w:bookmarkEnd w:id="5"/>
      <w:r w:rsidR="00216663" w:rsidRPr="00216663">
        <w:rPr>
          <w:rFonts w:ascii="Calibri" w:eastAsia="Calibri" w:hAnsi="Calibri" w:cs="Calibri"/>
          <w:color w:val="auto"/>
          <w:sz w:val="22"/>
          <w:szCs w:val="22"/>
        </w:rPr>
        <w:t>,</w:t>
      </w:r>
    </w:p>
    <w:p w14:paraId="6452721C" w14:textId="6F0D8059"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dostawy  odbywać się będą w dniach od poniedziałku do piątku w godz. 8.00 – 14.00 do głównego magazynu SP ZOZ w Łapach, Budynek Szpitala I piętro</w:t>
      </w:r>
      <w:r w:rsidR="00216663" w:rsidRPr="00216663">
        <w:rPr>
          <w:rFonts w:ascii="Calibri" w:eastAsia="Calibri" w:hAnsi="Calibri" w:cs="Calibri"/>
          <w:color w:val="auto"/>
          <w:sz w:val="22"/>
          <w:szCs w:val="22"/>
        </w:rPr>
        <w:t xml:space="preserve"> Magazyn</w:t>
      </w:r>
      <w:r w:rsidRPr="00216663">
        <w:rPr>
          <w:rFonts w:ascii="Calibri" w:eastAsia="Calibri" w:hAnsi="Calibri" w:cs="Calibri"/>
          <w:color w:val="auto"/>
          <w:sz w:val="22"/>
          <w:szCs w:val="22"/>
        </w:rPr>
        <w:t>, ul. J. Korczaka 23, 18-100 Łapy</w:t>
      </w:r>
      <w:r w:rsidR="00216663" w:rsidRPr="00216663">
        <w:rPr>
          <w:rFonts w:ascii="Calibri" w:eastAsia="Calibri" w:hAnsi="Calibri" w:cs="Calibri"/>
          <w:color w:val="auto"/>
          <w:sz w:val="22"/>
          <w:szCs w:val="22"/>
        </w:rPr>
        <w:t>.</w:t>
      </w:r>
    </w:p>
    <w:p w14:paraId="642EAB23" w14:textId="5DC7195F" w:rsidR="00216663"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b)</w:t>
      </w:r>
      <w:r w:rsidR="00216663">
        <w:rPr>
          <w:rFonts w:ascii="Calibri" w:eastAsia="Calibri" w:hAnsi="Calibri" w:cs="Calibri"/>
          <w:color w:val="auto"/>
          <w:sz w:val="22"/>
          <w:szCs w:val="22"/>
        </w:rPr>
        <w:t xml:space="preserve"> </w:t>
      </w:r>
      <w:r w:rsidRPr="00216663">
        <w:rPr>
          <w:rFonts w:ascii="Calibri" w:eastAsia="Calibri" w:hAnsi="Calibri" w:cs="Calibri"/>
          <w:b/>
          <w:color w:val="auto"/>
          <w:sz w:val="22"/>
          <w:szCs w:val="22"/>
        </w:rPr>
        <w:t>Dostawa i uruchomienie aparatów do hemodializy</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nastąpi w terminie</w:t>
      </w:r>
      <w:r w:rsidR="00216663" w:rsidRPr="00216663">
        <w:rPr>
          <w:rFonts w:ascii="Calibri" w:eastAsia="Calibri" w:hAnsi="Calibri" w:cs="Calibri"/>
          <w:b/>
          <w:color w:val="auto"/>
          <w:sz w:val="22"/>
          <w:szCs w:val="22"/>
        </w:rPr>
        <w:t xml:space="preserve"> do 5 dni roboczych </w:t>
      </w:r>
      <w:r w:rsidR="00216663" w:rsidRPr="00216663">
        <w:rPr>
          <w:rFonts w:ascii="Calibri" w:eastAsia="Calibri" w:hAnsi="Calibri" w:cs="Calibri"/>
          <w:color w:val="auto"/>
          <w:sz w:val="22"/>
          <w:szCs w:val="22"/>
        </w:rPr>
        <w:t>od zawarcia umowy.</w:t>
      </w:r>
    </w:p>
    <w:p w14:paraId="49223BEE" w14:textId="6712D362" w:rsidR="00216663" w:rsidRDefault="00E4570A" w:rsidP="00216663">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c)  </w:t>
      </w:r>
      <w:r w:rsidRPr="00216663">
        <w:rPr>
          <w:rFonts w:ascii="Calibri" w:eastAsia="Calibri" w:hAnsi="Calibri" w:cs="Calibri"/>
          <w:b/>
          <w:color w:val="auto"/>
          <w:sz w:val="22"/>
          <w:szCs w:val="22"/>
        </w:rPr>
        <w:t>Dostawa i uruchomienie aparatu do terapii nerkozastępczej</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 xml:space="preserve">nastąpi w terminie </w:t>
      </w:r>
      <w:r w:rsidR="00216663" w:rsidRPr="00216663">
        <w:rPr>
          <w:rFonts w:ascii="Calibri" w:eastAsia="Calibri" w:hAnsi="Calibri" w:cs="Calibri"/>
          <w:b/>
          <w:color w:val="auto"/>
          <w:sz w:val="22"/>
          <w:szCs w:val="22"/>
        </w:rPr>
        <w:t xml:space="preserve">do 5 </w:t>
      </w:r>
      <w:r w:rsidR="00216663" w:rsidRPr="00216663">
        <w:rPr>
          <w:rFonts w:ascii="Calibri" w:eastAsia="Calibri" w:hAnsi="Calibri" w:cs="Calibri"/>
          <w:color w:val="auto"/>
          <w:sz w:val="22"/>
          <w:szCs w:val="22"/>
        </w:rPr>
        <w:t>dni roboczych od zawarcia umowy.</w:t>
      </w:r>
    </w:p>
    <w:p w14:paraId="4027DFEB" w14:textId="77777777" w:rsidR="00216663" w:rsidRDefault="00216663" w:rsidP="003438DB">
      <w:pPr>
        <w:spacing w:line="240" w:lineRule="auto"/>
        <w:jc w:val="both"/>
        <w:rPr>
          <w:rFonts w:cs="Calibri"/>
        </w:rPr>
      </w:pPr>
    </w:p>
    <w:p w14:paraId="18FA5210" w14:textId="3A253325" w:rsidR="003438DB" w:rsidRDefault="003438DB" w:rsidP="003438DB">
      <w:pPr>
        <w:spacing w:line="240" w:lineRule="auto"/>
        <w:jc w:val="both"/>
        <w:rPr>
          <w:rFonts w:cs="Calibri"/>
        </w:rPr>
      </w:pPr>
      <w:r w:rsidRPr="009B00FC">
        <w:rPr>
          <w:rFonts w:cs="Calibri"/>
        </w:rPr>
        <w:t xml:space="preserve">W przypadku wystąpienia reklamacji – czas załatwienia </w:t>
      </w:r>
      <w:r w:rsidRPr="00D07C07">
        <w:rPr>
          <w:rFonts w:cs="Calibri"/>
          <w:b/>
        </w:rPr>
        <w:t>w terminie do 3 dni</w:t>
      </w:r>
      <w:r w:rsidRPr="009B00FC">
        <w:rPr>
          <w:rFonts w:cs="Calibri"/>
        </w:rPr>
        <w:t xml:space="preserve"> od daty udokumentowanego zgłoszenia przez Zamawiającego.</w:t>
      </w:r>
    </w:p>
    <w:p w14:paraId="562AF0C6" w14:textId="747D518B" w:rsidR="00232164" w:rsidRPr="00232164" w:rsidRDefault="00232164" w:rsidP="00232164">
      <w:pPr>
        <w:spacing w:line="240" w:lineRule="auto"/>
        <w:jc w:val="both"/>
        <w:rPr>
          <w:rFonts w:cs="Calibri"/>
        </w:rPr>
      </w:pPr>
      <w:r w:rsidRPr="00232164">
        <w:rPr>
          <w:rFonts w:cs="Calibri"/>
        </w:rPr>
        <w:t xml:space="preserve">Okres gwarancji aparatów do hemodializy obowiązuje na czas trwania umowy. Pełny serwis, przeglądy techniczne, części zamienne i dojazd w czasie trwania umowy </w:t>
      </w:r>
      <w:r w:rsidR="002965DD">
        <w:rPr>
          <w:rFonts w:cs="Calibri"/>
        </w:rPr>
        <w:t xml:space="preserve">będą wliczone w cenę oferty. </w:t>
      </w:r>
    </w:p>
    <w:p w14:paraId="4863C847" w14:textId="0097D162" w:rsidR="00232164" w:rsidRPr="00232164" w:rsidRDefault="00232164" w:rsidP="00232164">
      <w:pPr>
        <w:spacing w:line="240" w:lineRule="auto"/>
        <w:jc w:val="both"/>
        <w:rPr>
          <w:rFonts w:cs="Calibri"/>
        </w:rPr>
      </w:pPr>
      <w:r w:rsidRPr="00232164">
        <w:rPr>
          <w:rFonts w:cs="Calibri"/>
        </w:rPr>
        <w:t xml:space="preserve">Wykonawca gwarantuje 24 – godzinny czas reakcji serwisu od momentu telefonicznego zgłoszenia przez Zamawiającego. Naprawa nastąpi </w:t>
      </w:r>
      <w:r w:rsidR="00216663">
        <w:rPr>
          <w:rFonts w:cs="Calibri"/>
        </w:rPr>
        <w:t xml:space="preserve">w terminie </w:t>
      </w:r>
      <w:r w:rsidR="00216663" w:rsidRPr="00216663">
        <w:rPr>
          <w:rFonts w:cs="Calibri"/>
          <w:b/>
        </w:rPr>
        <w:t>3 dni roboczych</w:t>
      </w:r>
      <w:r w:rsidRPr="00232164">
        <w:rPr>
          <w:rFonts w:cs="Calibri"/>
        </w:rPr>
        <w:t xml:space="preserve"> od otrzymania zgłoszenia.</w:t>
      </w:r>
    </w:p>
    <w:p w14:paraId="3707184C" w14:textId="32ADC139" w:rsidR="00232164" w:rsidRPr="009B00FC" w:rsidRDefault="00232164" w:rsidP="00232164">
      <w:pPr>
        <w:spacing w:line="240" w:lineRule="auto"/>
        <w:jc w:val="both"/>
        <w:rPr>
          <w:rFonts w:cs="Calibri"/>
        </w:rPr>
      </w:pPr>
      <w:bookmarkStart w:id="6" w:name="_Hlk3807832"/>
      <w:r w:rsidRPr="00232164">
        <w:rPr>
          <w:rFonts w:cs="Calibri"/>
        </w:rPr>
        <w:t>W przypadku przestoju</w:t>
      </w:r>
      <w:r w:rsidR="007863C5">
        <w:rPr>
          <w:rFonts w:cs="Calibri"/>
        </w:rPr>
        <w:t xml:space="preserve"> </w:t>
      </w:r>
      <w:r w:rsidRPr="00232164">
        <w:rPr>
          <w:rFonts w:cs="Calibri"/>
        </w:rPr>
        <w:t xml:space="preserve">dłuższego </w:t>
      </w:r>
      <w:r w:rsidRPr="00216663">
        <w:rPr>
          <w:rFonts w:cs="Calibri"/>
          <w:b/>
        </w:rPr>
        <w:t xml:space="preserve">niż </w:t>
      </w:r>
      <w:r w:rsidR="002965DD" w:rsidRPr="00216663">
        <w:rPr>
          <w:rFonts w:cs="Calibri"/>
          <w:b/>
        </w:rPr>
        <w:t>3</w:t>
      </w:r>
      <w:r w:rsidRPr="00216663">
        <w:rPr>
          <w:rFonts w:cs="Calibri"/>
          <w:b/>
        </w:rPr>
        <w:t xml:space="preserve"> </w:t>
      </w:r>
      <w:r w:rsidR="002965DD" w:rsidRPr="00216663">
        <w:rPr>
          <w:rFonts w:cs="Calibri"/>
          <w:b/>
        </w:rPr>
        <w:t>dni</w:t>
      </w:r>
      <w:r w:rsidR="00216663">
        <w:rPr>
          <w:rFonts w:cs="Calibri"/>
        </w:rPr>
        <w:t xml:space="preserve"> </w:t>
      </w:r>
      <w:r w:rsidR="00216663" w:rsidRPr="00216663">
        <w:rPr>
          <w:rFonts w:cs="Calibri"/>
          <w:b/>
        </w:rPr>
        <w:t>robocze</w:t>
      </w:r>
      <w:r w:rsidRPr="00216663">
        <w:rPr>
          <w:rFonts w:cs="Calibri"/>
          <w:b/>
        </w:rPr>
        <w:t xml:space="preserve"> </w:t>
      </w:r>
      <w:r w:rsidRPr="00232164">
        <w:rPr>
          <w:rFonts w:cs="Calibri"/>
        </w:rPr>
        <w:t xml:space="preserve">od </w:t>
      </w:r>
      <w:r w:rsidRPr="00B42942">
        <w:rPr>
          <w:rFonts w:cs="Calibri"/>
        </w:rPr>
        <w:t xml:space="preserve">otrzymania </w:t>
      </w:r>
      <w:r w:rsidR="00304350" w:rsidRPr="00B42942">
        <w:rPr>
          <w:rFonts w:cs="Calibri"/>
        </w:rPr>
        <w:t xml:space="preserve">udokumentowanego </w:t>
      </w:r>
      <w:r w:rsidRPr="00B42942">
        <w:rPr>
          <w:rFonts w:cs="Calibri"/>
        </w:rPr>
        <w:t xml:space="preserve">zgłoszenia </w:t>
      </w:r>
      <w:r w:rsidR="002965DD">
        <w:rPr>
          <w:rFonts w:cs="Calibri"/>
        </w:rPr>
        <w:t xml:space="preserve">Zamawiający gwarantuje </w:t>
      </w:r>
      <w:r w:rsidRPr="00B42942">
        <w:rPr>
          <w:rFonts w:cs="Calibri"/>
        </w:rPr>
        <w:t>wstawieni</w:t>
      </w:r>
      <w:r w:rsidR="002965DD">
        <w:rPr>
          <w:rFonts w:cs="Calibri"/>
        </w:rPr>
        <w:t>e</w:t>
      </w:r>
      <w:r w:rsidR="0035110B" w:rsidRPr="00B42942">
        <w:rPr>
          <w:rFonts w:cs="Calibri"/>
        </w:rPr>
        <w:t xml:space="preserve"> (instalacja i uruchomienie</w:t>
      </w:r>
      <w:r w:rsidR="0035110B">
        <w:rPr>
          <w:rFonts w:cs="Calibri"/>
        </w:rPr>
        <w:t>)</w:t>
      </w:r>
      <w:r w:rsidRPr="00232164">
        <w:rPr>
          <w:rFonts w:cs="Calibri"/>
        </w:rPr>
        <w:t xml:space="preserve"> aparatu zastępczego </w:t>
      </w:r>
      <w:r w:rsidRPr="002965DD">
        <w:rPr>
          <w:rFonts w:cs="Calibri"/>
          <w:b/>
        </w:rPr>
        <w:t xml:space="preserve">o parametrach </w:t>
      </w:r>
      <w:r w:rsidR="002965DD" w:rsidRPr="002965DD">
        <w:rPr>
          <w:rFonts w:cs="Calibri"/>
          <w:b/>
        </w:rPr>
        <w:t>tożsamych</w:t>
      </w:r>
      <w:r w:rsidR="00216663" w:rsidRPr="00216663">
        <w:rPr>
          <w:rFonts w:cs="Calibri"/>
        </w:rPr>
        <w:t xml:space="preserve"> względem</w:t>
      </w:r>
      <w:r w:rsidRPr="002965DD">
        <w:rPr>
          <w:rFonts w:cs="Calibri"/>
          <w:b/>
        </w:rPr>
        <w:t xml:space="preserve"> </w:t>
      </w:r>
      <w:r w:rsidRPr="00232164">
        <w:rPr>
          <w:rFonts w:cs="Calibri"/>
        </w:rPr>
        <w:t>urządzeni</w:t>
      </w:r>
      <w:r w:rsidR="002965DD">
        <w:rPr>
          <w:rFonts w:cs="Calibri"/>
        </w:rPr>
        <w:t>a</w:t>
      </w:r>
      <w:r w:rsidRPr="00232164">
        <w:rPr>
          <w:rFonts w:cs="Calibri"/>
        </w:rPr>
        <w:t xml:space="preserve"> dzierżawione</w:t>
      </w:r>
      <w:r w:rsidR="002965DD">
        <w:rPr>
          <w:rFonts w:cs="Calibri"/>
        </w:rPr>
        <w:t>go</w:t>
      </w:r>
      <w:r w:rsidRPr="00232164">
        <w:rPr>
          <w:rFonts w:cs="Calibri"/>
        </w:rPr>
        <w:t>.</w:t>
      </w:r>
    </w:p>
    <w:bookmarkEnd w:id="6"/>
    <w:p w14:paraId="263BE08C" w14:textId="77777777" w:rsidR="00F55BCA" w:rsidRPr="000D50C3" w:rsidRDefault="00F55BCA" w:rsidP="00F55BCA">
      <w:pPr>
        <w:spacing w:line="240" w:lineRule="auto"/>
        <w:jc w:val="both"/>
        <w:rPr>
          <w:rFonts w:cs="Calibri"/>
          <w:color w:val="00B0F0"/>
        </w:rPr>
      </w:pPr>
      <w:r w:rsidRPr="007041AD">
        <w:rPr>
          <w:rFonts w:cs="Calibri"/>
        </w:rPr>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xml:space="preserve">, </w:t>
      </w:r>
      <w:r w:rsidR="000D50C3" w:rsidRPr="00D07C07">
        <w:rPr>
          <w:rFonts w:cs="Calibri"/>
          <w:b/>
        </w:rPr>
        <w:t>nie dłużej jednak niż o kolejne 6 miesięcy.</w:t>
      </w:r>
    </w:p>
    <w:p w14:paraId="62221288" w14:textId="4EDA7F26" w:rsidR="00232164" w:rsidRDefault="00232164" w:rsidP="00F55BCA">
      <w:pPr>
        <w:spacing w:line="240" w:lineRule="auto"/>
        <w:jc w:val="both"/>
        <w:rPr>
          <w:rFonts w:cs="Calibri"/>
        </w:rPr>
      </w:pPr>
      <w:r w:rsidRPr="009B00FC">
        <w:rPr>
          <w:rFonts w:cs="Calibri"/>
        </w:rPr>
        <w:t xml:space="preserve">Termin płatności ustala się </w:t>
      </w:r>
      <w:r w:rsidR="00B42942" w:rsidRPr="006778A5">
        <w:rPr>
          <w:rFonts w:cs="Calibri"/>
        </w:rPr>
        <w:t>do</w:t>
      </w:r>
      <w:r w:rsidRPr="006778A5">
        <w:rPr>
          <w:rFonts w:cs="Calibri"/>
        </w:rPr>
        <w:t xml:space="preserve"> 60 dni</w:t>
      </w:r>
      <w:r w:rsidRPr="00481B0E">
        <w:rPr>
          <w:rFonts w:cs="Calibri"/>
        </w:rPr>
        <w:t xml:space="preserve"> </w:t>
      </w:r>
      <w:r w:rsidRPr="009B00FC">
        <w:rPr>
          <w:rFonts w:cs="Calibri"/>
        </w:rPr>
        <w:t xml:space="preserve">od daty otrzymania faktury po zrealizowaniu zamówienia. </w:t>
      </w:r>
      <w:r w:rsidR="00216663">
        <w:rPr>
          <w:rFonts w:cs="Calibri"/>
        </w:rPr>
        <w:br/>
      </w:r>
      <w:r w:rsidRPr="009B00FC">
        <w:rPr>
          <w:rFonts w:cs="Calibri"/>
        </w:rPr>
        <w:t>W przypadku, gdy realizacja zamówienia odbywa się w terminie późniejszym, niż data wpływu faktury do Zamawiającego, termin płatności liczony jest od daty realizacji zamówienia. Oferty z krótszym terminem płatności będą odrzucane jako nieodpowiadające SI</w:t>
      </w:r>
      <w:r>
        <w:rPr>
          <w:rFonts w:cs="Calibri"/>
        </w:rPr>
        <w:t>W</w:t>
      </w:r>
      <w:r w:rsidRPr="009B00FC">
        <w:rPr>
          <w:rFonts w:cs="Calibri"/>
        </w:rPr>
        <w:t>Z.</w:t>
      </w:r>
    </w:p>
    <w:p w14:paraId="502DC3AC" w14:textId="2950D177" w:rsidR="003438DB" w:rsidRPr="00D07C07" w:rsidRDefault="003438DB" w:rsidP="00F55BCA">
      <w:pPr>
        <w:spacing w:line="240" w:lineRule="auto"/>
        <w:jc w:val="both"/>
        <w:rPr>
          <w:rFonts w:cs="Calibri"/>
          <w:b/>
        </w:rPr>
      </w:pPr>
      <w:r w:rsidRPr="00D07C07">
        <w:rPr>
          <w:rFonts w:cs="Calibri"/>
          <w:b/>
        </w:rPr>
        <w:t xml:space="preserve">Umowa obowiązuje </w:t>
      </w:r>
      <w:r w:rsidR="00216663">
        <w:rPr>
          <w:rFonts w:cs="Calibri"/>
          <w:b/>
        </w:rPr>
        <w:t xml:space="preserve">w terminie </w:t>
      </w:r>
      <w:r w:rsidRPr="00D07C07">
        <w:rPr>
          <w:rFonts w:cs="Calibri"/>
          <w:b/>
        </w:rPr>
        <w:t xml:space="preserve">36 miesięcy od dnia zawarcia umowy. </w:t>
      </w:r>
    </w:p>
    <w:p w14:paraId="06B87647"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 xml:space="preserve">Rozdział 6 WARUNKI UDZIAŁU W POSTĘPOWANIU </w:t>
      </w:r>
    </w:p>
    <w:p w14:paraId="6D9E3EA2"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14:paraId="6AD5B992" w14:textId="77777777" w:rsidR="00A87D6F" w:rsidRPr="007041AD" w:rsidRDefault="008546E9" w:rsidP="00A87D6F">
      <w:pPr>
        <w:spacing w:line="240" w:lineRule="auto"/>
        <w:jc w:val="both"/>
        <w:rPr>
          <w:rFonts w:cs="Calibri"/>
        </w:rPr>
      </w:pPr>
      <w:bookmarkStart w:id="7"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8"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8"/>
      <w:r w:rsidR="00A87D6F">
        <w:rPr>
          <w:rFonts w:cs="Calibri"/>
        </w:rPr>
        <w:t xml:space="preserve">. </w:t>
      </w:r>
      <w:r w:rsidR="00A87D6F" w:rsidRPr="007041AD">
        <w:rPr>
          <w:rFonts w:cs="Calibri"/>
          <w:b/>
        </w:rPr>
        <w:t>Zamawiający nie określa warunku w ww. zakresie.</w:t>
      </w:r>
    </w:p>
    <w:p w14:paraId="243D0576" w14:textId="77777777"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14:paraId="5407373D" w14:textId="77777777"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7"/>
    <w:p w14:paraId="33DF01EB"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14:paraId="0D595749"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14:paraId="377646DD" w14:textId="77777777"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14:paraId="4F8960BB" w14:textId="77777777"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14:paraId="6450B49B" w14:textId="77777777"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14:paraId="072D93E0" w14:textId="77777777"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14:paraId="7A8EAB9F"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14:paraId="4E5AFC41" w14:textId="77777777"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77777777"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w:t>
        </w:r>
        <w:r w:rsidR="00C13E7B" w:rsidRPr="00283A73">
          <w:rPr>
            <w:rStyle w:val="Hipercze"/>
          </w:rPr>
          <w:lastRenderedPageBreak/>
          <w:t>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14:paraId="0D19C66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lastRenderedPageBreak/>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5A3EF27A" w14:textId="77777777" w:rsidR="00E4570A" w:rsidRDefault="00E4570A" w:rsidP="00905AEA">
      <w:pPr>
        <w:jc w:val="both"/>
        <w:rPr>
          <w:rStyle w:val="Nagwek2Znak"/>
          <w:rFonts w:asciiTheme="minorHAnsi" w:eastAsia="Calibri" w:hAnsiTheme="minorHAnsi"/>
          <w:sz w:val="22"/>
          <w:szCs w:val="22"/>
        </w:rPr>
      </w:pPr>
    </w:p>
    <w:p w14:paraId="3BE92064" w14:textId="6FF365F0"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w:t>
      </w:r>
      <w:r w:rsidRPr="0074656A">
        <w:rPr>
          <w:rFonts w:asciiTheme="minorHAnsi" w:hAnsiTheme="minorHAnsi"/>
          <w:b/>
        </w:rPr>
        <w:t>nie krótszym niż 10 dni</w:t>
      </w:r>
      <w:r w:rsidRPr="006A15E6">
        <w:rPr>
          <w:rFonts w:asciiTheme="minorHAnsi" w:hAnsiTheme="minorHAnsi"/>
        </w:rPr>
        <w:t xml:space="preserve"> </w:t>
      </w:r>
      <w:r w:rsidRPr="0074656A">
        <w:rPr>
          <w:rFonts w:asciiTheme="minorHAnsi" w:hAnsiTheme="minorHAnsi"/>
          <w:b/>
        </w:rPr>
        <w:t>terminie</w:t>
      </w:r>
      <w:r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14:paraId="798C6FA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14:paraId="7F82173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Na wezwanie Zamawiającego z art. 26 ust. 1 ustawy, Wykonawca zobowiązany jest złożyć następujące oświadczenia lub dokumenty: </w:t>
      </w:r>
    </w:p>
    <w:p w14:paraId="3CC1C0AC" w14:textId="07ACBBD2" w:rsidR="0003485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 celu potwierdzenia spełniania przez </w:t>
      </w:r>
      <w:r w:rsidR="00173684">
        <w:rPr>
          <w:rFonts w:asciiTheme="minorHAnsi" w:hAnsiTheme="minorHAnsi"/>
        </w:rPr>
        <w:t>W</w:t>
      </w:r>
      <w:r w:rsidRPr="006A15E6">
        <w:rPr>
          <w:rFonts w:asciiTheme="minorHAnsi" w:hAnsiTheme="minorHAnsi"/>
        </w:rPr>
        <w:t xml:space="preserve">ykonawcę warunków udziału w postępowaniu, </w:t>
      </w:r>
      <w:r w:rsidR="007041AD" w:rsidRPr="006A15E6">
        <w:rPr>
          <w:rFonts w:asciiTheme="minorHAnsi" w:hAnsiTheme="minorHAnsi"/>
        </w:rPr>
        <w:br/>
      </w:r>
      <w:r w:rsidRPr="006A15E6">
        <w:rPr>
          <w:rFonts w:asciiTheme="minorHAnsi" w:hAnsiTheme="minorHAnsi"/>
        </w:rPr>
        <w:t>o których mo</w:t>
      </w:r>
      <w:r w:rsidR="00A268C8" w:rsidRPr="006A15E6">
        <w:rPr>
          <w:rFonts w:asciiTheme="minorHAnsi" w:hAnsiTheme="minorHAnsi"/>
        </w:rPr>
        <w:t>wa w rozdziale 6 niniejszej SIWZ</w:t>
      </w:r>
      <w:r w:rsidRPr="006A15E6">
        <w:rPr>
          <w:rFonts w:asciiTheme="minorHAnsi" w:hAnsiTheme="minorHAnsi"/>
        </w:rPr>
        <w:t>:</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77777777"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8.7.2.</w:t>
      </w:r>
      <w:r w:rsidRPr="006A15E6">
        <w:rPr>
          <w:rFonts w:asciiTheme="minorHAnsi" w:hAnsiTheme="minorHAnsi"/>
        </w:rPr>
        <w:t xml:space="preserve"> W celu potwierdzenia braku podstaw do wykluczenia </w:t>
      </w:r>
      <w:r w:rsidR="00173684">
        <w:rPr>
          <w:rFonts w:asciiTheme="minorHAnsi" w:hAnsiTheme="minorHAnsi"/>
        </w:rPr>
        <w:t>W</w:t>
      </w:r>
      <w:r w:rsidRPr="006A15E6">
        <w:rPr>
          <w:rFonts w:asciiTheme="minorHAnsi" w:hAnsiTheme="minorHAnsi"/>
        </w:rPr>
        <w:t xml:space="preserve">ykonawcy z udziału w postępowaniu, </w:t>
      </w:r>
      <w:r w:rsidR="0003485D">
        <w:rPr>
          <w:rFonts w:asciiTheme="minorHAnsi" w:hAnsiTheme="minorHAnsi"/>
        </w:rPr>
        <w:br/>
      </w:r>
      <w:r w:rsidRPr="006A15E6">
        <w:rPr>
          <w:rFonts w:asciiTheme="minorHAnsi" w:hAnsiTheme="minorHAnsi"/>
        </w:rPr>
        <w:t xml:space="preserve">o których mowa w rozdziale 7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4A5987BB" w14:textId="77777777" w:rsidR="00905AEA" w:rsidRDefault="00905AEA" w:rsidP="00905AEA">
      <w:pPr>
        <w:jc w:val="both"/>
        <w:rPr>
          <w:rFonts w:asciiTheme="minorHAnsi" w:hAnsiTheme="minorHAnsi"/>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Zamawiającego: </w:t>
      </w:r>
    </w:p>
    <w:p w14:paraId="67B8E587" w14:textId="13AD72D0" w:rsidR="0003485D" w:rsidRPr="00D07C07" w:rsidRDefault="0081280A" w:rsidP="0003485D">
      <w:pPr>
        <w:jc w:val="both"/>
        <w:rPr>
          <w:rFonts w:asciiTheme="minorHAnsi" w:hAnsiTheme="minorHAnsi"/>
          <w:b/>
        </w:rPr>
      </w:pPr>
      <w:r>
        <w:rPr>
          <w:rFonts w:asciiTheme="minorHAnsi" w:hAnsiTheme="minorHAnsi"/>
          <w:b/>
        </w:rPr>
        <w:t xml:space="preserve">a) </w:t>
      </w:r>
      <w:r w:rsidR="0003485D" w:rsidRPr="00D07C07">
        <w:rPr>
          <w:rFonts w:asciiTheme="minorHAnsi" w:hAnsiTheme="minorHAnsi"/>
          <w:b/>
        </w:rPr>
        <w:t>Dotyczy zużywalnych materiałów medycznych i technicznych:</w:t>
      </w:r>
    </w:p>
    <w:p w14:paraId="3B4A48A8" w14:textId="501B7D7F" w:rsidR="0003485D" w:rsidRPr="0003485D" w:rsidRDefault="0003485D" w:rsidP="0003485D">
      <w:pPr>
        <w:jc w:val="both"/>
        <w:rPr>
          <w:rFonts w:asciiTheme="minorHAnsi" w:hAnsiTheme="minorHAnsi"/>
        </w:rPr>
      </w:pPr>
      <w:r w:rsidRPr="0003485D">
        <w:rPr>
          <w:rFonts w:asciiTheme="minorHAnsi" w:hAnsiTheme="minorHAnsi"/>
        </w:rPr>
        <w:t>1.</w:t>
      </w:r>
      <w:r>
        <w:rPr>
          <w:rFonts w:asciiTheme="minorHAnsi" w:hAnsiTheme="minorHAnsi"/>
        </w:rPr>
        <w:t xml:space="preserve"> </w:t>
      </w:r>
      <w:r w:rsidRPr="0003485D">
        <w:rPr>
          <w:rFonts w:asciiTheme="minorHAnsi" w:hAnsiTheme="minorHAnsi"/>
        </w:rPr>
        <w:t xml:space="preserve">Dokument potwierdzający, iż oferowany przedmiot zamówienia dopuszczony jest do obrotu </w:t>
      </w:r>
      <w:r>
        <w:rPr>
          <w:rFonts w:asciiTheme="minorHAnsi" w:hAnsiTheme="minorHAnsi"/>
        </w:rPr>
        <w:br/>
      </w:r>
      <w:r w:rsidRPr="0003485D">
        <w:rPr>
          <w:rFonts w:asciiTheme="minorHAnsi" w:hAnsiTheme="minorHAnsi"/>
        </w:rPr>
        <w:t>w Polsce zgodnie z Ustawą z dnia 20 maja 2010 r. o wyrobach medycznych (</w:t>
      </w:r>
      <w:r w:rsidR="00354125" w:rsidRPr="00354125">
        <w:rPr>
          <w:rFonts w:asciiTheme="minorHAnsi" w:hAnsiTheme="minorHAnsi"/>
        </w:rPr>
        <w:t>Dz.U.2019.175 tj. z dnia 2019.01.30</w:t>
      </w:r>
      <w:r w:rsidRPr="0003485D">
        <w:rPr>
          <w:rFonts w:asciiTheme="minorHAnsi" w:hAnsiTheme="minorHAnsi"/>
        </w:rPr>
        <w:t xml:space="preserve">) i przepisami wykonawczymi, </w:t>
      </w:r>
      <w:r w:rsidR="00354125">
        <w:rPr>
          <w:rFonts w:asciiTheme="minorHAnsi" w:hAnsiTheme="minorHAnsi"/>
        </w:rPr>
        <w:t>o</w:t>
      </w:r>
      <w:r w:rsidRPr="0003485D">
        <w:rPr>
          <w:rFonts w:asciiTheme="minorHAnsi" w:hAnsiTheme="minorHAnsi"/>
        </w:rPr>
        <w:t>dpowiednie atesty i certyfikaty CE.</w:t>
      </w:r>
    </w:p>
    <w:p w14:paraId="2BD21BFD" w14:textId="77777777" w:rsidR="0003485D" w:rsidRPr="0003485D" w:rsidRDefault="0003485D" w:rsidP="0003485D">
      <w:pPr>
        <w:jc w:val="both"/>
        <w:rPr>
          <w:rFonts w:asciiTheme="minorHAnsi" w:hAnsiTheme="minorHAnsi"/>
        </w:rPr>
      </w:pPr>
      <w:r w:rsidRPr="0003485D">
        <w:rPr>
          <w:rFonts w:asciiTheme="minorHAnsi" w:hAnsiTheme="minorHAnsi"/>
        </w:rPr>
        <w:lastRenderedPageBreak/>
        <w:t>2.</w:t>
      </w:r>
      <w:r>
        <w:rPr>
          <w:rFonts w:asciiTheme="minorHAnsi" w:hAnsiTheme="minorHAnsi"/>
        </w:rPr>
        <w:t xml:space="preserve"> </w:t>
      </w:r>
      <w:r w:rsidRPr="0003485D">
        <w:rPr>
          <w:rFonts w:asciiTheme="minorHAnsi" w:hAnsiTheme="minorHAnsi"/>
        </w:rPr>
        <w:t>Dokument dopuszczający do obrotu i używania zgodnie z ww</w:t>
      </w:r>
      <w:r w:rsidR="00232164">
        <w:rPr>
          <w:rFonts w:asciiTheme="minorHAnsi" w:hAnsiTheme="minorHAnsi"/>
        </w:rPr>
        <w:t>.</w:t>
      </w:r>
      <w:r w:rsidRPr="0003485D">
        <w:rPr>
          <w:rFonts w:asciiTheme="minorHAnsi" w:hAnsiTheme="minorHAnsi"/>
        </w:rPr>
        <w:t xml:space="preserve"> ustawą  o wyrobach medycznych oraz dyrektywą UE.</w:t>
      </w:r>
    </w:p>
    <w:p w14:paraId="36889346" w14:textId="0A75D7FC" w:rsidR="0003485D" w:rsidRPr="00D07C07" w:rsidRDefault="0081280A" w:rsidP="0003485D">
      <w:pPr>
        <w:jc w:val="both"/>
        <w:rPr>
          <w:rFonts w:asciiTheme="minorHAnsi" w:hAnsiTheme="minorHAnsi"/>
          <w:b/>
        </w:rPr>
      </w:pPr>
      <w:r>
        <w:rPr>
          <w:rFonts w:asciiTheme="minorHAnsi" w:hAnsiTheme="minorHAnsi"/>
          <w:b/>
        </w:rPr>
        <w:t xml:space="preserve">b) </w:t>
      </w:r>
      <w:r w:rsidR="0003485D" w:rsidRPr="00D07C07">
        <w:rPr>
          <w:rFonts w:asciiTheme="minorHAnsi" w:hAnsiTheme="minorHAnsi"/>
          <w:b/>
        </w:rPr>
        <w:t>Dotyczy dzierżawy aparatów:</w:t>
      </w:r>
    </w:p>
    <w:p w14:paraId="3C946ADC" w14:textId="15C42998" w:rsidR="0003485D" w:rsidRDefault="00E24BE4" w:rsidP="00F17A2F">
      <w:pPr>
        <w:spacing w:line="240" w:lineRule="auto"/>
        <w:jc w:val="both"/>
        <w:rPr>
          <w:rFonts w:asciiTheme="minorHAnsi" w:hAnsiTheme="minorHAnsi"/>
        </w:rPr>
      </w:pPr>
      <w:r>
        <w:rPr>
          <w:rFonts w:asciiTheme="minorHAnsi" w:hAnsiTheme="minorHAnsi"/>
        </w:rPr>
        <w:t xml:space="preserve">1. </w:t>
      </w:r>
      <w:r w:rsidR="004F7A12">
        <w:rPr>
          <w:rFonts w:asciiTheme="minorHAnsi" w:hAnsiTheme="minorHAnsi"/>
        </w:rPr>
        <w:t xml:space="preserve">Instrukcja obsługi w języku polskim. </w:t>
      </w:r>
    </w:p>
    <w:p w14:paraId="4EC80753" w14:textId="0294C23E" w:rsidR="0081280A" w:rsidRDefault="00F17A2F" w:rsidP="0081280A">
      <w:pPr>
        <w:spacing w:after="0" w:line="240" w:lineRule="auto"/>
        <w:jc w:val="both"/>
        <w:rPr>
          <w:rFonts w:asciiTheme="minorHAnsi" w:hAnsiTheme="minorHAnsi"/>
        </w:rPr>
      </w:pPr>
      <w:r>
        <w:rPr>
          <w:rFonts w:asciiTheme="minorHAnsi" w:hAnsiTheme="minorHAnsi"/>
        </w:rPr>
        <w:t xml:space="preserve">2. </w:t>
      </w:r>
      <w:bookmarkStart w:id="9" w:name="_Hlk3807461"/>
      <w:r w:rsidR="0081280A" w:rsidRPr="0081280A">
        <w:rPr>
          <w:rFonts w:asciiTheme="minorHAnsi" w:hAnsiTheme="minorHAnsi"/>
        </w:rPr>
        <w:t>Dokument potwierdzający, iż oferowany przedmiot zamówienia dopuszczony jest do obrotu</w:t>
      </w:r>
      <w:bookmarkEnd w:id="9"/>
      <w:r w:rsidR="0081280A" w:rsidRPr="0081280A">
        <w:rPr>
          <w:rFonts w:asciiTheme="minorHAnsi" w:hAnsiTheme="minorHAnsi"/>
        </w:rPr>
        <w:t xml:space="preserve"> </w:t>
      </w:r>
      <w:r w:rsidR="0081280A">
        <w:rPr>
          <w:rFonts w:asciiTheme="minorHAnsi" w:hAnsiTheme="minorHAnsi"/>
        </w:rPr>
        <w:br/>
      </w:r>
      <w:r w:rsidR="0081280A" w:rsidRPr="0081280A">
        <w:rPr>
          <w:rFonts w:asciiTheme="minorHAnsi" w:hAnsiTheme="minorHAnsi"/>
        </w:rPr>
        <w:t>w Polsce zgodnie z Ustawą z dnia 20 maja 2010 r. o wyrobach medycznych (Dz.U.2019.175 tj. z dnia 2019.01.30) i przepisami wykonawczymi, odpowiednie atesty i certyfikaty CE.</w:t>
      </w:r>
    </w:p>
    <w:p w14:paraId="738B1BCC" w14:textId="77777777" w:rsidR="0081280A" w:rsidRDefault="0081280A" w:rsidP="0081280A">
      <w:pPr>
        <w:spacing w:after="0" w:line="240" w:lineRule="auto"/>
        <w:rPr>
          <w:rFonts w:asciiTheme="minorHAnsi" w:hAnsiTheme="minorHAnsi"/>
        </w:rPr>
      </w:pPr>
    </w:p>
    <w:p w14:paraId="217C5D60" w14:textId="1FEC8078" w:rsidR="00F17A2F" w:rsidRDefault="00F17A2F" w:rsidP="0081280A">
      <w:pPr>
        <w:spacing w:after="0" w:line="240" w:lineRule="auto"/>
        <w:jc w:val="both"/>
        <w:rPr>
          <w:rFonts w:asciiTheme="minorHAnsi" w:hAnsiTheme="minorHAnsi"/>
        </w:rPr>
      </w:pPr>
      <w:r>
        <w:rPr>
          <w:rFonts w:asciiTheme="minorHAnsi" w:hAnsiTheme="minorHAnsi"/>
        </w:rPr>
        <w:t>3.</w:t>
      </w:r>
      <w:r w:rsidRPr="00F17A2F">
        <w:rPr>
          <w:rFonts w:asciiTheme="minorHAnsi" w:hAnsiTheme="minorHAnsi"/>
        </w:rPr>
        <w:t xml:space="preserve"> </w:t>
      </w:r>
      <w:bookmarkStart w:id="10" w:name="_Hlk3807477"/>
      <w:r w:rsidRPr="00F17A2F">
        <w:rPr>
          <w:rFonts w:asciiTheme="minorHAnsi" w:hAnsiTheme="minorHAnsi"/>
        </w:rPr>
        <w:t xml:space="preserve">Certyfikat Zgodności wyrobu </w:t>
      </w:r>
      <w:bookmarkEnd w:id="10"/>
      <w:r w:rsidRPr="00F17A2F">
        <w:rPr>
          <w:rFonts w:asciiTheme="minorHAnsi" w:hAnsiTheme="minorHAnsi"/>
        </w:rPr>
        <w:t>wydany przez jednostkę notyfikowaną, jeżeli oferowany przedmiot</w:t>
      </w:r>
      <w:r>
        <w:rPr>
          <w:rFonts w:asciiTheme="minorHAnsi" w:hAnsiTheme="minorHAnsi"/>
        </w:rPr>
        <w:t xml:space="preserve"> </w:t>
      </w:r>
      <w:r w:rsidRPr="00F17A2F">
        <w:rPr>
          <w:rFonts w:asciiTheme="minorHAnsi" w:hAnsiTheme="minorHAnsi"/>
        </w:rPr>
        <w:t>zamówienia został zaliczony do jednej z klas, o których mowa w art. 29 ust. 5 ustawy z dnia 20</w:t>
      </w:r>
      <w:r>
        <w:rPr>
          <w:rFonts w:asciiTheme="minorHAnsi" w:hAnsiTheme="minorHAnsi"/>
        </w:rPr>
        <w:t xml:space="preserve"> </w:t>
      </w:r>
      <w:r w:rsidRPr="00F17A2F">
        <w:rPr>
          <w:rFonts w:asciiTheme="minorHAnsi" w:hAnsiTheme="minorHAnsi"/>
        </w:rPr>
        <w:t>maja 2010 r. o wyrobach medycznych</w:t>
      </w:r>
      <w:r w:rsidR="0081280A">
        <w:rPr>
          <w:rFonts w:asciiTheme="minorHAnsi" w:hAnsiTheme="minorHAnsi"/>
        </w:rPr>
        <w:t>.</w:t>
      </w:r>
    </w:p>
    <w:p w14:paraId="3F6469AD" w14:textId="77777777" w:rsidR="00F17A2F" w:rsidRPr="006A15E6" w:rsidRDefault="00F17A2F" w:rsidP="00F17A2F">
      <w:pPr>
        <w:spacing w:after="0" w:line="240" w:lineRule="auto"/>
        <w:jc w:val="both"/>
        <w:rPr>
          <w:rFonts w:asciiTheme="minorHAnsi" w:hAnsiTheme="minorHAnsi"/>
        </w:rPr>
      </w:pPr>
    </w:p>
    <w:p w14:paraId="24D44AC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14:paraId="7F454107"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14:paraId="1EDCA51A"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których mowa w pkt. 8.7.2 lit. b-d)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14:paraId="027EE3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w:t>
      </w:r>
      <w:r w:rsidRPr="006A15E6">
        <w:rPr>
          <w:rFonts w:asciiTheme="minorHAnsi" w:hAnsiTheme="minorHAnsi"/>
        </w:rPr>
        <w:lastRenderedPageBreak/>
        <w:t xml:space="preserve">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14:paraId="58FC01FF"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14:paraId="56E5853B"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14:paraId="3E350100"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14:paraId="12742B4E"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14:paraId="0DADFBB2" w14:textId="77777777"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14:paraId="669DA385"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14:paraId="48970693"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14:paraId="2CF27B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lastRenderedPageBreak/>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77777777"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14:paraId="6A2332F1"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14:paraId="63664474"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77777777"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lastRenderedPageBreak/>
        <w:t xml:space="preserve">Rozdział 10 INFORMACJA DLA WYKONAWCÓW WSPÓLNIE UBIEGAJĄCYCH SIĘ O UDZIELENIE ZAMÓWIENIA (SPÓŁKI CYWILNE/ KONSORCJA) </w:t>
      </w:r>
    </w:p>
    <w:p w14:paraId="527DE52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14:paraId="6C166352" w14:textId="7777777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14:paraId="31ED4184" w14:textId="77777777"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77777777"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14:paraId="298CBF48" w14:textId="77777777"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14:paraId="1792F5EA"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14:paraId="7BF0D3CB"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14:paraId="60F9FF04"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14:paraId="71B9286C"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14:paraId="6750AD9E" w14:textId="77777777"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14:paraId="1D21864E" w14:textId="77777777"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77777777"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77777777" w:rsidR="00905AEA" w:rsidRPr="007041AD" w:rsidRDefault="00905AEA" w:rsidP="00905AEA">
      <w:pPr>
        <w:jc w:val="both"/>
        <w:rPr>
          <w:b/>
        </w:rPr>
      </w:pPr>
      <w:r w:rsidRPr="007041AD">
        <w:rPr>
          <w:rStyle w:val="Nagwek2Znak"/>
          <w:rFonts w:eastAsia="Calibri"/>
        </w:rPr>
        <w:lastRenderedPageBreak/>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77777777"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77777777"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14:paraId="69519DF2" w14:textId="77777777" w:rsidR="00905AEA" w:rsidRPr="007041AD" w:rsidRDefault="00905AEA" w:rsidP="00905AEA">
      <w:pPr>
        <w:jc w:val="both"/>
        <w:rPr>
          <w:b/>
          <w:shd w:val="clear" w:color="auto" w:fill="00CCFF"/>
        </w:rPr>
      </w:pPr>
      <w:r w:rsidRPr="007041AD">
        <w:t xml:space="preserve">- </w:t>
      </w:r>
      <w:r w:rsidR="00C93AAF" w:rsidRPr="00C93AAF">
        <w:t>Anna Daniluk-Jamro</w:t>
      </w:r>
      <w:r w:rsidR="00C93AAF">
        <w:t xml:space="preserve"> </w:t>
      </w:r>
      <w:r w:rsidR="00C93AAF" w:rsidRPr="00C93AAF">
        <w:t>- Kierownik Stacji Dializ</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adres email: dializy@szpitallapy.pl</w:t>
      </w:r>
    </w:p>
    <w:p w14:paraId="179A2A4E" w14:textId="77777777"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adres email: przetargi@szpitallapy.pl</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77777777"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14:paraId="19C8C416" w14:textId="77777777"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46174BF8" w14:textId="77777777"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77777777"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14:paraId="1984D058" w14:textId="77777777"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14:paraId="17396F40" w14:textId="77777777"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7777777"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w:t>
      </w:r>
      <w:r w:rsidRPr="007041AD">
        <w:lastRenderedPageBreak/>
        <w:t xml:space="preserve">„rozporządzeniem”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77777777"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14:paraId="72C20178" w14:textId="77777777"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77777777"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77777777"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14:paraId="03EEC5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14:paraId="7A1F69F3" w14:textId="77777777"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324B5DA2"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D07C07" w:rsidRPr="00636339">
        <w:rPr>
          <w:rFonts w:cs="Calibri"/>
          <w:b/>
        </w:rPr>
        <w:t xml:space="preserve">5 </w:t>
      </w:r>
      <w:r w:rsidRPr="00636339">
        <w:rPr>
          <w:rFonts w:cs="Calibri"/>
          <w:b/>
        </w:rPr>
        <w:t>wynosi</w:t>
      </w:r>
      <w:r w:rsidR="00B80DE1" w:rsidRPr="00636339">
        <w:rPr>
          <w:rFonts w:cs="Calibri"/>
          <w:b/>
        </w:rPr>
        <w:t xml:space="preserve"> </w:t>
      </w:r>
      <w:r w:rsidR="0074656A" w:rsidRPr="00636339">
        <w:rPr>
          <w:rFonts w:cs="Calibri"/>
          <w:b/>
        </w:rPr>
        <w:t>39 300</w:t>
      </w:r>
      <w:r w:rsidR="00B80DE1" w:rsidRPr="00636339">
        <w:rPr>
          <w:rFonts w:cs="Calibri"/>
          <w:b/>
        </w:rPr>
        <w:t xml:space="preserve"> zł</w:t>
      </w:r>
      <w:r w:rsidR="0074656A">
        <w:rPr>
          <w:rFonts w:cs="Calibri"/>
        </w:rPr>
        <w:t xml:space="preserve"> (słownie: trzydzieści dziewięć tysięcy trzysta złotych, 0/00 PLN)</w:t>
      </w:r>
      <w:r w:rsidR="00DA31CE" w:rsidRPr="00C85500">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11"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30116F" w:rsidRPr="007041AD" w14:paraId="44D28D0A"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77777777" w:rsidR="0030116F" w:rsidRPr="007041AD" w:rsidRDefault="00E4570A" w:rsidP="0030116F">
            <w:pPr>
              <w:spacing w:after="0" w:line="240" w:lineRule="auto"/>
              <w:rPr>
                <w:rFonts w:cs="Calibri"/>
                <w:color w:val="000000"/>
              </w:rPr>
            </w:pPr>
            <w:r>
              <w:rPr>
                <w:rFonts w:cs="Calibri"/>
                <w:color w:val="000000"/>
              </w:rPr>
              <w:t xml:space="preserve">17 000 zł </w:t>
            </w:r>
          </w:p>
        </w:tc>
      </w:tr>
      <w:tr w:rsidR="0030116F" w:rsidRPr="007041AD" w14:paraId="69AAB333"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p>
        </w:tc>
        <w:tc>
          <w:tcPr>
            <w:tcW w:w="7512" w:type="dxa"/>
            <w:tcBorders>
              <w:top w:val="nil"/>
              <w:left w:val="nil"/>
              <w:bottom w:val="single" w:sz="4" w:space="0" w:color="000000"/>
              <w:right w:val="single" w:sz="4" w:space="0" w:color="000000"/>
            </w:tcBorders>
            <w:shd w:val="clear" w:color="auto" w:fill="auto"/>
            <w:noWrap/>
            <w:vAlign w:val="center"/>
          </w:tcPr>
          <w:p w14:paraId="3D7C6E92" w14:textId="77777777" w:rsidR="0030116F" w:rsidRPr="007041AD" w:rsidRDefault="00E4570A" w:rsidP="0030116F">
            <w:pPr>
              <w:spacing w:after="0" w:line="240" w:lineRule="auto"/>
              <w:rPr>
                <w:rFonts w:cs="Calibri"/>
                <w:color w:val="000000"/>
              </w:rPr>
            </w:pPr>
            <w:r>
              <w:rPr>
                <w:rFonts w:cs="Calibri"/>
                <w:color w:val="000000"/>
              </w:rPr>
              <w:t>10 000 zł</w:t>
            </w:r>
          </w:p>
        </w:tc>
      </w:tr>
      <w:tr w:rsidR="0030116F" w:rsidRPr="007041AD" w14:paraId="7C632E47"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p>
        </w:tc>
        <w:tc>
          <w:tcPr>
            <w:tcW w:w="7512" w:type="dxa"/>
            <w:tcBorders>
              <w:top w:val="nil"/>
              <w:left w:val="nil"/>
              <w:bottom w:val="single" w:sz="4" w:space="0" w:color="000000"/>
              <w:right w:val="single" w:sz="4" w:space="0" w:color="000000"/>
            </w:tcBorders>
            <w:shd w:val="clear" w:color="auto" w:fill="auto"/>
            <w:noWrap/>
            <w:vAlign w:val="center"/>
          </w:tcPr>
          <w:p w14:paraId="08D55D26" w14:textId="77777777" w:rsidR="00E4570A" w:rsidRPr="007041AD" w:rsidRDefault="00E4570A" w:rsidP="0030116F">
            <w:pPr>
              <w:spacing w:after="0" w:line="240" w:lineRule="auto"/>
              <w:rPr>
                <w:rFonts w:cs="Calibri"/>
                <w:color w:val="000000"/>
              </w:rPr>
            </w:pPr>
            <w:r>
              <w:rPr>
                <w:rFonts w:cs="Calibri"/>
                <w:color w:val="000000"/>
              </w:rPr>
              <w:t>300 zł</w:t>
            </w:r>
          </w:p>
        </w:tc>
      </w:tr>
      <w:tr w:rsidR="00D07C07" w:rsidRPr="007041AD" w14:paraId="45A322B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77777777" w:rsidR="00D07C07" w:rsidRPr="007041AD" w:rsidRDefault="00D07C07" w:rsidP="00E4570A">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p>
        </w:tc>
        <w:tc>
          <w:tcPr>
            <w:tcW w:w="7512" w:type="dxa"/>
            <w:tcBorders>
              <w:top w:val="nil"/>
              <w:left w:val="nil"/>
              <w:bottom w:val="single" w:sz="4" w:space="0" w:color="000000"/>
              <w:right w:val="single" w:sz="4" w:space="0" w:color="000000"/>
            </w:tcBorders>
            <w:shd w:val="clear" w:color="auto" w:fill="auto"/>
            <w:noWrap/>
            <w:vAlign w:val="center"/>
          </w:tcPr>
          <w:p w14:paraId="28970B8F" w14:textId="77777777" w:rsidR="00D07C07" w:rsidRPr="007041AD" w:rsidRDefault="00E4570A" w:rsidP="00E4570A">
            <w:pPr>
              <w:spacing w:after="0" w:line="240" w:lineRule="auto"/>
              <w:rPr>
                <w:rFonts w:cs="Calibri"/>
                <w:color w:val="000000"/>
              </w:rPr>
            </w:pPr>
            <w:r>
              <w:rPr>
                <w:rFonts w:cs="Calibri"/>
                <w:color w:val="000000"/>
              </w:rPr>
              <w:t>2 000 zł</w:t>
            </w:r>
          </w:p>
        </w:tc>
      </w:tr>
      <w:tr w:rsidR="00D07C07" w:rsidRPr="007041AD" w14:paraId="5FC6BC0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E78E343" w14:textId="77777777" w:rsidR="00D07C07" w:rsidRPr="007041AD" w:rsidRDefault="00D07C07" w:rsidP="00E4570A">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w:t>
            </w:r>
          </w:p>
        </w:tc>
        <w:tc>
          <w:tcPr>
            <w:tcW w:w="7512" w:type="dxa"/>
            <w:tcBorders>
              <w:top w:val="nil"/>
              <w:left w:val="nil"/>
              <w:bottom w:val="single" w:sz="4" w:space="0" w:color="000000"/>
              <w:right w:val="single" w:sz="4" w:space="0" w:color="000000"/>
            </w:tcBorders>
            <w:shd w:val="clear" w:color="auto" w:fill="auto"/>
            <w:noWrap/>
            <w:vAlign w:val="center"/>
          </w:tcPr>
          <w:p w14:paraId="1EB34E12" w14:textId="7C5E50B3" w:rsidR="00D07C07" w:rsidRPr="007041AD" w:rsidRDefault="00354125" w:rsidP="00E4570A">
            <w:pPr>
              <w:spacing w:after="0" w:line="240" w:lineRule="auto"/>
              <w:rPr>
                <w:rFonts w:cs="Calibri"/>
                <w:color w:val="000000"/>
              </w:rPr>
            </w:pPr>
            <w:r>
              <w:rPr>
                <w:rFonts w:cs="Calibri"/>
                <w:color w:val="000000"/>
              </w:rPr>
              <w:t xml:space="preserve">10 000 zł </w:t>
            </w:r>
          </w:p>
        </w:tc>
      </w:tr>
    </w:tbl>
    <w:bookmarkEnd w:id="11"/>
    <w:p w14:paraId="6627B71F" w14:textId="77777777"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14:paraId="1CA92004"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77777777"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77777777" w:rsidR="00DD5BA8" w:rsidRPr="007041AD" w:rsidRDefault="00DD5BA8" w:rsidP="004B5536">
      <w:pPr>
        <w:spacing w:line="240" w:lineRule="auto"/>
        <w:jc w:val="both"/>
        <w:rPr>
          <w:rFonts w:cs="Calibri"/>
        </w:rPr>
      </w:pPr>
      <w:r w:rsidRPr="007041AD">
        <w:rPr>
          <w:rFonts w:eastAsia="SimSun" w:cs="Calibri"/>
          <w:bCs/>
        </w:rPr>
        <w:lastRenderedPageBreak/>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77777777"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14:paraId="3FB4FBC7"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14:paraId="1D2BDB22" w14:textId="77777777"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77777777"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14:paraId="4669B492" w14:textId="77777777"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14:paraId="60411343" w14:textId="77777777"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14:paraId="3B8CE375" w14:textId="77777777"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14:paraId="26FECB7C" w14:textId="3B9E20F1"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77777777"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77777777" w:rsidR="00251635" w:rsidRPr="007041AD" w:rsidRDefault="00251635" w:rsidP="00251635">
      <w:pPr>
        <w:jc w:val="both"/>
      </w:pPr>
      <w:r w:rsidRPr="007041AD">
        <w:rPr>
          <w:rStyle w:val="Nagwek2Znak"/>
          <w:rFonts w:eastAsia="Calibri"/>
        </w:rPr>
        <w:lastRenderedPageBreak/>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77777777"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14:paraId="4C9A8447" w14:textId="77777777"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7777777"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77777777"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77777777"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77777777" w:rsidR="00251635" w:rsidRPr="007041AD" w:rsidRDefault="00251635" w:rsidP="00251635">
      <w:pPr>
        <w:jc w:val="both"/>
      </w:pPr>
      <w:r w:rsidRPr="007041AD">
        <w:rPr>
          <w:rStyle w:val="Nagwek2Znak"/>
          <w:rFonts w:eastAsia="Calibri"/>
        </w:rPr>
        <w:t>13.14.</w:t>
      </w:r>
      <w:r w:rsidRPr="007041AD">
        <w:t xml:space="preserve"> Oferta musi zawierać: </w:t>
      </w:r>
    </w:p>
    <w:p w14:paraId="1C4ED78B" w14:textId="2A6EAD52"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636339">
        <w:t xml:space="preserve">, Opis Przedmiotu Zamówienia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Nr</w:t>
      </w:r>
      <w:r w:rsidR="00636339">
        <w:rPr>
          <w:b/>
        </w:rPr>
        <w:t xml:space="preserve"> 1A</w:t>
      </w:r>
      <w:r w:rsidR="00636339" w:rsidRPr="007041AD">
        <w:rPr>
          <w:b/>
        </w:rPr>
        <w:t xml:space="preserve"> do SIWZ</w:t>
      </w:r>
      <w:r w:rsidRPr="007041AD">
        <w:rPr>
          <w:b/>
        </w:rPr>
        <w:t xml:space="preserve">. </w:t>
      </w:r>
    </w:p>
    <w:p w14:paraId="17AFB6E8" w14:textId="77777777" w:rsidR="00251635" w:rsidRPr="007041AD" w:rsidRDefault="00251635" w:rsidP="00251635">
      <w:pPr>
        <w:jc w:val="both"/>
      </w:pPr>
      <w:r w:rsidRPr="007041AD">
        <w:t>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 xml:space="preserve">ykonawców występujących wspólnie) działa na podstawie </w:t>
      </w:r>
      <w:r w:rsidRPr="007041AD">
        <w:lastRenderedPageBreak/>
        <w:t>pełnomocnictwa, pełnomocnictwo to w może być złożone w formie oryginału w postaci dokumentu elektronicznego podpisanego przy użyciu kwalifikowanego podpisu elektronicznego. (jeżeli dotyczy);</w:t>
      </w:r>
    </w:p>
    <w:p w14:paraId="23FE5E4C" w14:textId="77777777"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14:paraId="70744866" w14:textId="77777777"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14:paraId="380A5323" w14:textId="77777777" w:rsidR="00251635" w:rsidRPr="007041AD" w:rsidRDefault="00251635" w:rsidP="00251635">
      <w:pPr>
        <w:jc w:val="both"/>
      </w:pPr>
      <w:r w:rsidRPr="007041AD">
        <w:t xml:space="preserve">6) Zobowiązanie, o którym mowa w pkt 9.2 SIWZ (jeżeli dotyczy)-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14:paraId="7F2436B5" w14:textId="77777777"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Pr="007041AD">
        <w:rPr>
          <w:b/>
        </w:rPr>
        <w:t xml:space="preserve">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14:paraId="2B53CB85" w14:textId="77777777" w:rsidR="00251635" w:rsidRPr="007041AD" w:rsidRDefault="00251635" w:rsidP="00251635">
      <w:pPr>
        <w:jc w:val="both"/>
      </w:pPr>
      <w:r w:rsidRPr="007041AD">
        <w:t>- wszystkie pliki wraz z plikami stanowiącymi ofertę należy skompresować do jednego pliku archiwum (ZIP);</w:t>
      </w:r>
    </w:p>
    <w:p w14:paraId="48B37A44"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14:paraId="28667173" w14:textId="38CC7874" w:rsidR="00251635" w:rsidRPr="00B44C42" w:rsidRDefault="00251635" w:rsidP="00251635">
      <w:pPr>
        <w:jc w:val="both"/>
      </w:pPr>
      <w:r w:rsidRPr="007041AD">
        <w:rPr>
          <w:rStyle w:val="Nagwek2Znak"/>
          <w:rFonts w:eastAsia="Calibri"/>
        </w:rPr>
        <w:t>14.1</w:t>
      </w:r>
      <w:r w:rsidRPr="00B44C42">
        <w:rPr>
          <w:rStyle w:val="Nagwek2Znak"/>
          <w:rFonts w:eastAsia="Calibri"/>
        </w:rPr>
        <w:t>.</w:t>
      </w:r>
      <w:r w:rsidRPr="00B44C42">
        <w:t xml:space="preserve"> Ofertę wraz z dokumentami, o których mowa w pkt. 13.14 należy złożyć w terminie </w:t>
      </w:r>
      <w:r w:rsidRPr="00B44C42">
        <w:rPr>
          <w:b/>
        </w:rPr>
        <w:t xml:space="preserve">do dnia </w:t>
      </w:r>
      <w:r w:rsidR="001B1F94" w:rsidRPr="001B1F94">
        <w:rPr>
          <w:b/>
          <w:color w:val="FF0000"/>
        </w:rPr>
        <w:t>06.05</w:t>
      </w:r>
      <w:r w:rsidR="003C4C73" w:rsidRPr="001B1F94">
        <w:rPr>
          <w:b/>
          <w:color w:val="FF0000"/>
        </w:rPr>
        <w:t>.2019</w:t>
      </w:r>
      <w:r w:rsidRPr="001B1F94">
        <w:rPr>
          <w:b/>
          <w:color w:val="FF0000"/>
        </w:rPr>
        <w:t xml:space="preserve"> r. do godz.</w:t>
      </w:r>
      <w:r w:rsidR="003C4C73" w:rsidRPr="001B1F94">
        <w:rPr>
          <w:b/>
          <w:color w:val="FF0000"/>
        </w:rPr>
        <w:t xml:space="preserve"> </w:t>
      </w:r>
      <w:r w:rsidR="001B5597" w:rsidRPr="001B1F94">
        <w:rPr>
          <w:b/>
          <w:color w:val="FF0000"/>
        </w:rPr>
        <w:t>9</w:t>
      </w:r>
      <w:r w:rsidR="003C4C73" w:rsidRPr="001B1F94">
        <w:rPr>
          <w:b/>
          <w:color w:val="FF0000"/>
        </w:rPr>
        <w:t>:00</w:t>
      </w:r>
      <w:r w:rsidRPr="001B1F94">
        <w:rPr>
          <w:color w:val="FF0000"/>
        </w:rPr>
        <w:t xml:space="preserve"> </w:t>
      </w:r>
      <w:r w:rsidRPr="00B44C42">
        <w:t>w sposób określony w Rozdziale 13 SIWZ.</w:t>
      </w:r>
    </w:p>
    <w:p w14:paraId="7D1B0E15" w14:textId="77777777" w:rsidR="00251635" w:rsidRPr="00B44C42" w:rsidRDefault="00251635" w:rsidP="00251635">
      <w:pPr>
        <w:jc w:val="both"/>
      </w:pPr>
      <w:r w:rsidRPr="00B44C42">
        <w:rPr>
          <w:rStyle w:val="Nagwek2Znak"/>
          <w:rFonts w:eastAsia="Calibri"/>
        </w:rPr>
        <w:t>14.2.</w:t>
      </w:r>
      <w:r w:rsidRPr="00B44C42">
        <w:t xml:space="preserve"> Uwaga: Za datę przekazania oferty, przyjmuje się datę ich przekazania na ePUAP. </w:t>
      </w:r>
    </w:p>
    <w:p w14:paraId="11F83C82" w14:textId="7DE1F43C" w:rsidR="00251635" w:rsidRPr="001B1F94" w:rsidRDefault="00251635" w:rsidP="00251635">
      <w:pPr>
        <w:jc w:val="both"/>
        <w:rPr>
          <w:b/>
        </w:rPr>
      </w:pPr>
      <w:r w:rsidRPr="00B44C42">
        <w:rPr>
          <w:rStyle w:val="Nagwek2Znak"/>
          <w:rFonts w:eastAsia="Calibri"/>
        </w:rPr>
        <w:t>14.3.</w:t>
      </w:r>
      <w:r w:rsidRPr="00B44C42">
        <w:t xml:space="preserve"> Otwarcie ofert nastąpi w </w:t>
      </w:r>
      <w:r w:rsidRPr="001B1F94">
        <w:rPr>
          <w:color w:val="FF0000"/>
        </w:rPr>
        <w:t xml:space="preserve">dniu </w:t>
      </w:r>
      <w:r w:rsidR="001B1F94" w:rsidRPr="001B1F94">
        <w:rPr>
          <w:b/>
          <w:color w:val="FF0000"/>
        </w:rPr>
        <w:t>06.05</w:t>
      </w:r>
      <w:r w:rsidR="003C4C73" w:rsidRPr="001B1F94">
        <w:rPr>
          <w:b/>
          <w:color w:val="FF0000"/>
        </w:rPr>
        <w:t>.2019</w:t>
      </w:r>
      <w:r w:rsidRPr="001B1F94">
        <w:rPr>
          <w:b/>
          <w:color w:val="FF0000"/>
        </w:rPr>
        <w:t xml:space="preserve"> r. o godz. </w:t>
      </w:r>
      <w:r w:rsidR="001B5597" w:rsidRPr="001B1F94">
        <w:rPr>
          <w:b/>
          <w:color w:val="FF0000"/>
        </w:rPr>
        <w:t>9</w:t>
      </w:r>
      <w:r w:rsidR="003C4C73" w:rsidRPr="001B1F94">
        <w:rPr>
          <w:b/>
          <w:color w:val="FF0000"/>
        </w:rPr>
        <w:t>:15</w:t>
      </w:r>
      <w:r w:rsidRPr="001B1F94">
        <w:rPr>
          <w:color w:val="FF0000"/>
        </w:rPr>
        <w:t xml:space="preserve"> </w:t>
      </w:r>
      <w:r w:rsidRPr="00B44C42">
        <w:t xml:space="preserve">w siedzibie: </w:t>
      </w:r>
      <w:r w:rsidRPr="00B44C42">
        <w:rPr>
          <w:rFonts w:cs="Calibri"/>
          <w:b/>
        </w:rPr>
        <w:t xml:space="preserve">Samodzielnego </w:t>
      </w:r>
      <w:r w:rsidRPr="001B1F94">
        <w:rPr>
          <w:rFonts w:cs="Calibri"/>
          <w:b/>
        </w:rPr>
        <w:t>Publicznego Zakładu Opieki Zdrowotnej w Łapach, 18-100 Łapy, ul. J. Korczaka 23, pokój nr 108.</w:t>
      </w:r>
    </w:p>
    <w:p w14:paraId="7B360AE2" w14:textId="77777777"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w:t>
      </w:r>
      <w:bookmarkStart w:id="12" w:name="_GoBack"/>
      <w:bookmarkEnd w:id="12"/>
      <w:r w:rsidRPr="007041AD">
        <w:rPr>
          <w:bCs/>
        </w:rPr>
        <w:t>t dostępnej na miniPortalu i dokonywane jest poprzez odszyfrowanie i otwarcie ofert za pomocą klucza prywatnego.</w:t>
      </w:r>
    </w:p>
    <w:p w14:paraId="634C8120" w14:textId="77777777"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14:paraId="0902A0BD" w14:textId="77777777"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7777777"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7777777"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lastRenderedPageBreak/>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7777777"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77777777"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14:paraId="6DACDF96"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14:paraId="1C0A60DA"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14:paraId="55323946"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14:paraId="02CC2779"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14:paraId="6D12F5CA"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14:paraId="0B6C465E"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14:paraId="0E80D125"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E4423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77777777"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w:t>
      </w:r>
      <w:r w:rsidRPr="007041AD">
        <w:rPr>
          <w:rFonts w:cs="Calibri"/>
        </w:rPr>
        <w:lastRenderedPageBreak/>
        <w:t xml:space="preserve">i usług (Dz. U. z 2014 r., poz. 915) oraz ustawy z dnia 7 lipca 1994 r. o denominacji złotego (Dz. U. z 1994 r., Nr 84, poz. 386 ze zm.), za którą podejmuje się zrealizować przedmiot zamówienia. </w:t>
      </w:r>
    </w:p>
    <w:p w14:paraId="24B3CAC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7777777"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14:paraId="4F08F039"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77777777"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14:paraId="6D1208DB" w14:textId="77777777" w:rsidR="00C17F6C" w:rsidRPr="003A33FE" w:rsidRDefault="00A33B0E" w:rsidP="00C17F6C">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74656A">
        <w:trPr>
          <w:trHeight w:val="479"/>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lastRenderedPageBreak/>
              <w:t>1</w:t>
            </w:r>
          </w:p>
        </w:tc>
        <w:tc>
          <w:tcPr>
            <w:tcW w:w="3782" w:type="dxa"/>
            <w:shd w:val="clear" w:color="auto" w:fill="auto"/>
          </w:tcPr>
          <w:p w14:paraId="2E509B28" w14:textId="77777777" w:rsidR="00C17F6C" w:rsidRPr="007041AD" w:rsidRDefault="00C17F6C" w:rsidP="00C1764D">
            <w:pPr>
              <w:spacing w:after="0" w:line="240" w:lineRule="auto"/>
              <w:jc w:val="both"/>
              <w:rPr>
                <w:rFonts w:cs="Calibri"/>
                <w:b/>
              </w:rPr>
            </w:pPr>
            <w:r w:rsidRPr="007041AD">
              <w:rPr>
                <w:rFonts w:cs="Calibri"/>
                <w:b/>
              </w:rPr>
              <w:t>Cena (C)</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222A5C09"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14:paraId="4ED82A5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14:paraId="55DCD7E5" w14:textId="77777777" w:rsidR="00A33B0E"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26452E4B" w14:textId="49A85434" w:rsidR="00251635" w:rsidRDefault="00A33B0E" w:rsidP="00251635">
      <w:pPr>
        <w:spacing w:line="240" w:lineRule="auto"/>
        <w:jc w:val="both"/>
        <w:rPr>
          <w:rFonts w:cs="Calibri"/>
        </w:rPr>
      </w:pPr>
      <w:r w:rsidRPr="007041AD">
        <w:rPr>
          <w:rFonts w:cs="Calibri"/>
        </w:rPr>
        <w:t xml:space="preserve">W kryterium „Cena”, oferta z najniższą ceną otrzyma </w:t>
      </w:r>
      <w:r w:rsidR="00C92DD9">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5E1D913"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14:paraId="06631CDC"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7777777"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14:paraId="7134A7B1"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lastRenderedPageBreak/>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14:paraId="30ABB77E" w14:textId="77777777"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14:paraId="46AB1F4F"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14:paraId="122CB326" w14:textId="77777777"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14:paraId="57E1859B"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14:paraId="01CF6C1F"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14:paraId="09BC05C3" w14:textId="04360513" w:rsidR="00A97075" w:rsidRPr="00A97075" w:rsidRDefault="00A079BF" w:rsidP="00A97075">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w:t>
      </w:r>
      <w:r w:rsidR="00A97075" w:rsidRPr="00A97075">
        <w:rPr>
          <w:rFonts w:cs="Calibri"/>
        </w:rPr>
        <w:t xml:space="preserve">Zamawiający, zgodnie z art. 144 ust. 1 ustawy PZP dopuszcza możliwość zmiany umowy </w:t>
      </w:r>
      <w:r w:rsidR="001B5597">
        <w:rPr>
          <w:rFonts w:cs="Calibri"/>
        </w:rPr>
        <w:br/>
      </w:r>
      <w:r w:rsidR="00A97075" w:rsidRPr="00A97075">
        <w:rPr>
          <w:rFonts w:cs="Calibri"/>
        </w:rPr>
        <w:t xml:space="preserve">w następujących sytuacjach: </w:t>
      </w:r>
    </w:p>
    <w:p w14:paraId="0D35B095" w14:textId="1D99BA47" w:rsidR="00A97075" w:rsidRPr="00A97075" w:rsidRDefault="00A97075" w:rsidP="00A97075">
      <w:pPr>
        <w:spacing w:line="240" w:lineRule="auto"/>
        <w:jc w:val="both"/>
        <w:rPr>
          <w:rFonts w:cs="Calibri"/>
        </w:rPr>
      </w:pPr>
      <w:r w:rsidRPr="00A97075">
        <w:rPr>
          <w:rFonts w:cs="Calibri"/>
        </w:rPr>
        <w:t>a)</w:t>
      </w:r>
      <w:r>
        <w:rPr>
          <w:rFonts w:cs="Calibri"/>
        </w:rPr>
        <w:t xml:space="preserve"> </w:t>
      </w:r>
      <w:r w:rsidRPr="00A97075">
        <w:rPr>
          <w:rFonts w:cs="Calibri"/>
        </w:rPr>
        <w:t xml:space="preserve">przedłużenie terminu obowiązywania umowy w związku z nie wyczerpaniem całości zamówienia </w:t>
      </w:r>
      <w:r w:rsidR="001B5597">
        <w:rPr>
          <w:rFonts w:cs="Calibri"/>
        </w:rPr>
        <w:br/>
      </w:r>
      <w:r w:rsidRPr="00A97075">
        <w:rPr>
          <w:rFonts w:cs="Calibri"/>
        </w:rPr>
        <w:t>w częściach wskazanych przez Zamawiającego do czasu wykorzystania całości zamówienia</w:t>
      </w:r>
      <w:r w:rsidR="001B5597">
        <w:rPr>
          <w:rFonts w:cs="Calibri"/>
        </w:rPr>
        <w:br/>
      </w:r>
      <w:r w:rsidRPr="00A97075">
        <w:rPr>
          <w:rFonts w:cs="Calibri"/>
        </w:rPr>
        <w:t>lub</w:t>
      </w:r>
      <w:r w:rsidR="001B5597">
        <w:rPr>
          <w:rFonts w:cs="Calibri"/>
        </w:rPr>
        <w:t xml:space="preserve"> </w:t>
      </w:r>
      <w:r w:rsidRPr="00A97075">
        <w:rPr>
          <w:rFonts w:cs="Calibri"/>
        </w:rPr>
        <w:t>rozstrzygnięcia nowego postępowania przetargowego, nie dłużej jednak niż o kolejne 6 miesięcy,</w:t>
      </w:r>
    </w:p>
    <w:p w14:paraId="3936F3B6" w14:textId="6B94ECD5" w:rsidR="00A97075" w:rsidRPr="00A97075" w:rsidRDefault="00A97075" w:rsidP="00A97075">
      <w:pPr>
        <w:spacing w:line="240" w:lineRule="auto"/>
        <w:jc w:val="both"/>
        <w:rPr>
          <w:rFonts w:cs="Calibri"/>
        </w:rPr>
      </w:pPr>
      <w:r w:rsidRPr="00A97075">
        <w:rPr>
          <w:rFonts w:cs="Calibri"/>
        </w:rPr>
        <w:t>b)</w:t>
      </w:r>
      <w:r>
        <w:rPr>
          <w:rFonts w:cs="Calibri"/>
        </w:rPr>
        <w:t xml:space="preserve"> </w:t>
      </w:r>
      <w:r w:rsidRPr="00A97075">
        <w:rPr>
          <w:rFonts w:cs="Calibri"/>
        </w:rPr>
        <w:t xml:space="preserve">zamianę poszczególnego asortymentu, będącego przedmiotem umowy i wyszczególnionego </w:t>
      </w:r>
      <w:r w:rsidR="001B5597">
        <w:rPr>
          <w:rFonts w:cs="Calibri"/>
        </w:rPr>
        <w:br/>
      </w:r>
      <w:r w:rsidRPr="00A97075">
        <w:rPr>
          <w:rFonts w:cs="Calibri"/>
        </w:rPr>
        <w:t>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14:paraId="27BE8EAE" w14:textId="5C344116" w:rsidR="00A97075" w:rsidRPr="00A97075" w:rsidRDefault="00A97075" w:rsidP="00A97075">
      <w:pPr>
        <w:spacing w:line="240" w:lineRule="auto"/>
        <w:jc w:val="both"/>
        <w:rPr>
          <w:rFonts w:cs="Calibri"/>
        </w:rPr>
      </w:pPr>
      <w:r w:rsidRPr="00A97075">
        <w:rPr>
          <w:rFonts w:cs="Calibri"/>
        </w:rPr>
        <w:t>c)</w:t>
      </w:r>
      <w:r>
        <w:rPr>
          <w:rFonts w:cs="Calibri"/>
        </w:rPr>
        <w:t xml:space="preserve"> </w:t>
      </w:r>
      <w:r w:rsidRPr="00A97075">
        <w:rPr>
          <w:rFonts w:cs="Calibri"/>
        </w:rPr>
        <w:t>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14:paraId="54747F87" w14:textId="1F1BE35F" w:rsidR="00A97075" w:rsidRPr="00A97075" w:rsidRDefault="00A97075" w:rsidP="00A97075">
      <w:pPr>
        <w:spacing w:line="240" w:lineRule="auto"/>
        <w:jc w:val="both"/>
        <w:rPr>
          <w:rFonts w:cs="Calibri"/>
        </w:rPr>
      </w:pPr>
      <w:r w:rsidRPr="00A97075">
        <w:rPr>
          <w:rFonts w:cs="Calibri"/>
        </w:rPr>
        <w:t>d)</w:t>
      </w:r>
      <w:r>
        <w:rPr>
          <w:rFonts w:cs="Calibri"/>
        </w:rPr>
        <w:t xml:space="preserve"> </w:t>
      </w:r>
      <w:r w:rsidRPr="00A97075">
        <w:rPr>
          <w:rFonts w:cs="Calibri"/>
        </w:rPr>
        <w:t>zmianę dotyczącą obniżenia cen jednostkowych poszczególnych elementów przedmiotu</w:t>
      </w:r>
      <w:r w:rsidR="001B5597">
        <w:rPr>
          <w:rFonts w:cs="Calibri"/>
        </w:rPr>
        <w:t xml:space="preserve"> </w:t>
      </w:r>
      <w:r w:rsidRPr="00A97075">
        <w:rPr>
          <w:rFonts w:cs="Calibri"/>
        </w:rPr>
        <w:t>zamówienia w przypadku promocji, obniżki cen na dany asortyment;</w:t>
      </w:r>
    </w:p>
    <w:p w14:paraId="144D417A" w14:textId="46903D19" w:rsidR="00A97075" w:rsidRPr="00A97075" w:rsidRDefault="00A97075" w:rsidP="00A97075">
      <w:pPr>
        <w:spacing w:line="240" w:lineRule="auto"/>
        <w:jc w:val="both"/>
        <w:rPr>
          <w:rFonts w:cs="Calibri"/>
        </w:rPr>
      </w:pPr>
      <w:r w:rsidRPr="00A97075">
        <w:rPr>
          <w:rFonts w:cs="Calibri"/>
        </w:rPr>
        <w:t>e)</w:t>
      </w:r>
      <w:r>
        <w:rPr>
          <w:rFonts w:cs="Calibri"/>
        </w:rPr>
        <w:t xml:space="preserve"> </w:t>
      </w:r>
      <w:r w:rsidRPr="00A97075">
        <w:rPr>
          <w:rFonts w:cs="Calibri"/>
        </w:rPr>
        <w:t xml:space="preserve">zmianę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 W przypadku takiej zmiany wykonawca, oświadcza, że wyraża zgodę na taką zmianę. </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lastRenderedPageBreak/>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14:paraId="5D58E8D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14:paraId="36E95048"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14:paraId="2FB99B45"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6F9D826" w:rsidR="009C3870" w:rsidRPr="007041AD" w:rsidRDefault="009C3870" w:rsidP="00D47093">
      <w:pPr>
        <w:spacing w:line="240" w:lineRule="auto"/>
        <w:jc w:val="both"/>
        <w:rPr>
          <w:rFonts w:cs="Calibri"/>
        </w:rPr>
      </w:pPr>
      <w:r w:rsidRPr="007041AD">
        <w:rPr>
          <w:rStyle w:val="Nagwek2Znak"/>
          <w:rFonts w:ascii="Calibri" w:eastAsia="Calibri" w:hAnsi="Calibri" w:cs="Calibri"/>
        </w:rPr>
        <w:t>23.4.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14:paraId="2A691AF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14:paraId="1D3D06D9"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14:paraId="493C6961"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14:paraId="7701296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0F01C6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14:paraId="5A386D3B" w14:textId="77777777"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14:paraId="6484B8FA" w14:textId="77777777"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14:paraId="52B93BE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777777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14:paraId="54018C77" w14:textId="77777777"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357B76" w:rsidRPr="007041AD">
          <w:rPr>
            <w:rStyle w:val="Hipercze"/>
            <w:rFonts w:cs="Calibri"/>
            <w:lang w:eastAsia="pl-PL"/>
          </w:rPr>
          <w:t>iod@szpitallapy.pl</w:t>
        </w:r>
      </w:hyperlink>
      <w:r w:rsidRPr="007041AD">
        <w:rPr>
          <w:rFonts w:cs="Calibri"/>
        </w:rPr>
        <w:t>;</w:t>
      </w:r>
    </w:p>
    <w:p w14:paraId="11F2B581" w14:textId="77777777"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7" w:history="1">
        <w:r w:rsidR="00357B76" w:rsidRPr="007041AD">
          <w:rPr>
            <w:rStyle w:val="Hipercze"/>
            <w:rFonts w:cs="Calibri"/>
            <w:lang w:eastAsia="pl-PL"/>
          </w:rPr>
          <w:t>iod@szpitallapy.pl</w:t>
        </w:r>
      </w:hyperlink>
      <w:r w:rsidR="00357B76" w:rsidRPr="007041AD">
        <w:rPr>
          <w:rFonts w:cs="Calibri"/>
        </w:rPr>
        <w:t>, telefon kontaktowy. 85/81424 26</w:t>
      </w:r>
    </w:p>
    <w:p w14:paraId="2729E06B" w14:textId="6B7D17D4" w:rsidR="002E2A56" w:rsidRPr="00654545" w:rsidRDefault="002E2A56" w:rsidP="002A6ECB">
      <w:pPr>
        <w:numPr>
          <w:ilvl w:val="0"/>
          <w:numId w:val="21"/>
        </w:numPr>
        <w:spacing w:after="0" w:line="240" w:lineRule="auto"/>
        <w:jc w:val="both"/>
        <w:rPr>
          <w:rFonts w:cs="Calibri"/>
        </w:rPr>
      </w:pPr>
      <w:r w:rsidRPr="00654545">
        <w:rPr>
          <w:rFonts w:cs="Calibri"/>
        </w:rPr>
        <w:t>Pani/Pana dane osobowe przetwarzane będą na podstawie art. 6 ust. 1 lit. c</w:t>
      </w:r>
      <w:r w:rsidRPr="00654545">
        <w:rPr>
          <w:rFonts w:cs="Calibri"/>
          <w:i/>
        </w:rPr>
        <w:t xml:space="preserve"> </w:t>
      </w:r>
      <w:r w:rsidRPr="00654545">
        <w:rPr>
          <w:rFonts w:cs="Calibri"/>
        </w:rPr>
        <w:t xml:space="preserve">RODO w celu związanym z postępowaniem o udzielenie zamówienia publicznego na </w:t>
      </w:r>
      <w:r w:rsidR="00654545" w:rsidRPr="00654545">
        <w:rPr>
          <w:rFonts w:cs="Calibri"/>
        </w:rPr>
        <w:t>„Dzierżawa aparatów do hemodializy z dostawą materiałów, dzierżawa aparatu do terapii nerkozastępczej z dostawą materiałów,</w:t>
      </w:r>
      <w:r w:rsidR="00654545">
        <w:rPr>
          <w:rFonts w:cs="Calibri"/>
        </w:rPr>
        <w:t xml:space="preserve"> </w:t>
      </w:r>
      <w:r w:rsidR="00654545" w:rsidRPr="00654545">
        <w:rPr>
          <w:rFonts w:cs="Calibri"/>
        </w:rPr>
        <w:t>dostawa materiałów do aparatów będących własnością SPZOZ w Łapach”</w:t>
      </w:r>
      <w:r w:rsidR="00654545">
        <w:rPr>
          <w:rFonts w:cs="Calibri"/>
        </w:rPr>
        <w:t xml:space="preserve"> </w:t>
      </w:r>
      <w:r w:rsidRPr="00654545">
        <w:rPr>
          <w:rFonts w:cs="Calibri"/>
        </w:rPr>
        <w:t xml:space="preserve">prowadzonym w trybie </w:t>
      </w:r>
      <w:r w:rsidRPr="00654545">
        <w:rPr>
          <w:rFonts w:cs="Calibri"/>
          <w:b/>
        </w:rPr>
        <w:t>przetargu nieograniczonego</w:t>
      </w:r>
      <w:r w:rsidRPr="00654545">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77777777"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CFA0C0" w14:textId="77777777" w:rsidR="002E2A56" w:rsidRPr="007041AD" w:rsidRDefault="002E2A56" w:rsidP="00D47093">
      <w:pPr>
        <w:numPr>
          <w:ilvl w:val="0"/>
          <w:numId w:val="21"/>
        </w:numPr>
        <w:spacing w:after="0" w:line="240" w:lineRule="auto"/>
        <w:jc w:val="both"/>
        <w:rPr>
          <w:rFonts w:cs="Calibri"/>
          <w:b/>
          <w:i/>
        </w:rPr>
      </w:pPr>
      <w:r w:rsidRPr="007041AD">
        <w:rPr>
          <w:rFonts w:cs="Calibri"/>
        </w:rPr>
        <w:lastRenderedPageBreak/>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24A22BFC" w14:textId="67B2663A" w:rsidR="003B1CBA" w:rsidRPr="007041AD" w:rsidRDefault="003B1CBA" w:rsidP="00D47093">
      <w:pPr>
        <w:numPr>
          <w:ilvl w:val="0"/>
          <w:numId w:val="39"/>
        </w:numPr>
        <w:spacing w:after="0" w:line="240" w:lineRule="auto"/>
        <w:jc w:val="both"/>
        <w:rPr>
          <w:rFonts w:cs="Calibri"/>
        </w:rPr>
      </w:pPr>
      <w:r>
        <w:rPr>
          <w:rFonts w:cs="Calibri"/>
        </w:rPr>
        <w:t>Załącznik Nr 1A – Opis Przedmiotu Zamówienia</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77777777"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77777777"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 eESPD;</w:t>
      </w:r>
    </w:p>
    <w:p w14:paraId="3789DD8A"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77777777"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2344" w14:textId="77777777" w:rsidR="002D4BF5" w:rsidRDefault="002D4BF5" w:rsidP="0093346F">
      <w:pPr>
        <w:spacing w:after="0" w:line="240" w:lineRule="auto"/>
      </w:pPr>
      <w:r>
        <w:separator/>
      </w:r>
    </w:p>
  </w:endnote>
  <w:endnote w:type="continuationSeparator" w:id="0">
    <w:p w14:paraId="5374D7F9" w14:textId="77777777" w:rsidR="002D4BF5" w:rsidRDefault="002D4BF5"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0"/>
    <w:family w:val="swiss"/>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77777777" w:rsidR="00C1764D" w:rsidRPr="007B0E69" w:rsidRDefault="00C1764D">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26</w:t>
    </w:r>
    <w:r w:rsidRPr="007B0E69">
      <w:rPr>
        <w:rFonts w:ascii="Verdana" w:hAnsi="Verdana"/>
        <w:b/>
        <w:sz w:val="20"/>
        <w:szCs w:val="20"/>
      </w:rPr>
      <w:fldChar w:fldCharType="end"/>
    </w:r>
  </w:p>
  <w:p w14:paraId="409A296C" w14:textId="77777777" w:rsidR="00C1764D" w:rsidRDefault="00C176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52A2" w14:textId="77777777" w:rsidR="002D4BF5" w:rsidRDefault="002D4BF5" w:rsidP="0093346F">
      <w:pPr>
        <w:spacing w:after="0" w:line="240" w:lineRule="auto"/>
      </w:pPr>
      <w:r>
        <w:separator/>
      </w:r>
    </w:p>
  </w:footnote>
  <w:footnote w:type="continuationSeparator" w:id="0">
    <w:p w14:paraId="1B757C1E" w14:textId="77777777" w:rsidR="002D4BF5" w:rsidRDefault="002D4BF5"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7"/>
  </w:num>
  <w:num w:numId="5">
    <w:abstractNumId w:val="29"/>
  </w:num>
  <w:num w:numId="6">
    <w:abstractNumId w:val="34"/>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3"/>
  </w:num>
  <w:num w:numId="16">
    <w:abstractNumId w:val="17"/>
  </w:num>
  <w:num w:numId="17">
    <w:abstractNumId w:val="11"/>
  </w:num>
  <w:num w:numId="18">
    <w:abstractNumId w:val="38"/>
  </w:num>
  <w:num w:numId="19">
    <w:abstractNumId w:val="28"/>
  </w:num>
  <w:num w:numId="20">
    <w:abstractNumId w:val="30"/>
  </w:num>
  <w:num w:numId="21">
    <w:abstractNumId w:val="14"/>
  </w:num>
  <w:num w:numId="22">
    <w:abstractNumId w:val="9"/>
  </w:num>
  <w:num w:numId="23">
    <w:abstractNumId w:val="19"/>
  </w:num>
  <w:num w:numId="24">
    <w:abstractNumId w:val="35"/>
  </w:num>
  <w:num w:numId="25">
    <w:abstractNumId w:val="6"/>
  </w:num>
  <w:num w:numId="26">
    <w:abstractNumId w:val="42"/>
  </w:num>
  <w:num w:numId="27">
    <w:abstractNumId w:val="31"/>
  </w:num>
  <w:num w:numId="28">
    <w:abstractNumId w:val="5"/>
  </w:num>
  <w:num w:numId="29">
    <w:abstractNumId w:val="22"/>
  </w:num>
  <w:num w:numId="30">
    <w:abstractNumId w:val="25"/>
  </w:num>
  <w:num w:numId="31">
    <w:abstractNumId w:val="33"/>
  </w:num>
  <w:num w:numId="32">
    <w:abstractNumId w:val="36"/>
  </w:num>
  <w:num w:numId="33">
    <w:abstractNumId w:val="15"/>
  </w:num>
  <w:num w:numId="34">
    <w:abstractNumId w:val="32"/>
  </w:num>
  <w:num w:numId="35">
    <w:abstractNumId w:val="3"/>
  </w:num>
  <w:num w:numId="36">
    <w:abstractNumId w:val="40"/>
  </w:num>
  <w:num w:numId="37">
    <w:abstractNumId w:val="23"/>
  </w:num>
  <w:num w:numId="38">
    <w:abstractNumId w:val="39"/>
  </w:num>
  <w:num w:numId="39">
    <w:abstractNumId w:val="41"/>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72AF"/>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B1F94"/>
    <w:rsid w:val="001B5597"/>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6663"/>
    <w:rsid w:val="002179F6"/>
    <w:rsid w:val="002214A7"/>
    <w:rsid w:val="002215AA"/>
    <w:rsid w:val="002224D9"/>
    <w:rsid w:val="00223EBC"/>
    <w:rsid w:val="00227278"/>
    <w:rsid w:val="0023093F"/>
    <w:rsid w:val="00232164"/>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5741"/>
    <w:rsid w:val="002965DD"/>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42A2"/>
    <w:rsid w:val="002D482E"/>
    <w:rsid w:val="002D4BF5"/>
    <w:rsid w:val="002D63EA"/>
    <w:rsid w:val="002E11D8"/>
    <w:rsid w:val="002E208F"/>
    <w:rsid w:val="002E2A56"/>
    <w:rsid w:val="002E3971"/>
    <w:rsid w:val="002E5A42"/>
    <w:rsid w:val="002E63AD"/>
    <w:rsid w:val="002F149E"/>
    <w:rsid w:val="002F4B7D"/>
    <w:rsid w:val="002F555A"/>
    <w:rsid w:val="002F6422"/>
    <w:rsid w:val="002F7239"/>
    <w:rsid w:val="002F750A"/>
    <w:rsid w:val="003009F0"/>
    <w:rsid w:val="0030116F"/>
    <w:rsid w:val="00302759"/>
    <w:rsid w:val="00302847"/>
    <w:rsid w:val="00304350"/>
    <w:rsid w:val="00304FC1"/>
    <w:rsid w:val="00310DC1"/>
    <w:rsid w:val="00314AF9"/>
    <w:rsid w:val="003216B3"/>
    <w:rsid w:val="00324A20"/>
    <w:rsid w:val="00326F00"/>
    <w:rsid w:val="0032739C"/>
    <w:rsid w:val="0033003E"/>
    <w:rsid w:val="00333527"/>
    <w:rsid w:val="00335622"/>
    <w:rsid w:val="00336C1E"/>
    <w:rsid w:val="00341AD5"/>
    <w:rsid w:val="003438DB"/>
    <w:rsid w:val="003468D3"/>
    <w:rsid w:val="00346F31"/>
    <w:rsid w:val="00350282"/>
    <w:rsid w:val="0035110B"/>
    <w:rsid w:val="00354125"/>
    <w:rsid w:val="00355416"/>
    <w:rsid w:val="00357B76"/>
    <w:rsid w:val="00362422"/>
    <w:rsid w:val="003656FC"/>
    <w:rsid w:val="003760B3"/>
    <w:rsid w:val="00381B48"/>
    <w:rsid w:val="00382BD9"/>
    <w:rsid w:val="00384733"/>
    <w:rsid w:val="0038533C"/>
    <w:rsid w:val="003858D3"/>
    <w:rsid w:val="003861E5"/>
    <w:rsid w:val="0038752C"/>
    <w:rsid w:val="0039237C"/>
    <w:rsid w:val="00392FF6"/>
    <w:rsid w:val="00393AAF"/>
    <w:rsid w:val="00396C12"/>
    <w:rsid w:val="003977F3"/>
    <w:rsid w:val="003A126A"/>
    <w:rsid w:val="003A33FE"/>
    <w:rsid w:val="003A4079"/>
    <w:rsid w:val="003A4E48"/>
    <w:rsid w:val="003A58D9"/>
    <w:rsid w:val="003B1CBA"/>
    <w:rsid w:val="003C07EB"/>
    <w:rsid w:val="003C08A3"/>
    <w:rsid w:val="003C0AB5"/>
    <w:rsid w:val="003C315A"/>
    <w:rsid w:val="003C318A"/>
    <w:rsid w:val="003C4C73"/>
    <w:rsid w:val="003D0A60"/>
    <w:rsid w:val="003D2EF1"/>
    <w:rsid w:val="003E2E46"/>
    <w:rsid w:val="003E469F"/>
    <w:rsid w:val="003F069C"/>
    <w:rsid w:val="003F0A87"/>
    <w:rsid w:val="003F179E"/>
    <w:rsid w:val="003F61AF"/>
    <w:rsid w:val="00400A80"/>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61B8"/>
    <w:rsid w:val="00471EE5"/>
    <w:rsid w:val="00472383"/>
    <w:rsid w:val="00473B32"/>
    <w:rsid w:val="00481B0E"/>
    <w:rsid w:val="00484828"/>
    <w:rsid w:val="00486CBC"/>
    <w:rsid w:val="00492266"/>
    <w:rsid w:val="00496F9F"/>
    <w:rsid w:val="004979D0"/>
    <w:rsid w:val="00497DAF"/>
    <w:rsid w:val="004A03EB"/>
    <w:rsid w:val="004A1086"/>
    <w:rsid w:val="004A2673"/>
    <w:rsid w:val="004A4DDD"/>
    <w:rsid w:val="004A5DD4"/>
    <w:rsid w:val="004B16CD"/>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6A81"/>
    <w:rsid w:val="004E78E3"/>
    <w:rsid w:val="004F1430"/>
    <w:rsid w:val="004F3FCD"/>
    <w:rsid w:val="004F3FFC"/>
    <w:rsid w:val="004F7005"/>
    <w:rsid w:val="004F7A12"/>
    <w:rsid w:val="00501204"/>
    <w:rsid w:val="005021ED"/>
    <w:rsid w:val="005025C7"/>
    <w:rsid w:val="005029FC"/>
    <w:rsid w:val="00503F38"/>
    <w:rsid w:val="00504160"/>
    <w:rsid w:val="005042D7"/>
    <w:rsid w:val="005044B8"/>
    <w:rsid w:val="005109E6"/>
    <w:rsid w:val="005122D7"/>
    <w:rsid w:val="00514662"/>
    <w:rsid w:val="0051572D"/>
    <w:rsid w:val="00516078"/>
    <w:rsid w:val="00517123"/>
    <w:rsid w:val="005239C3"/>
    <w:rsid w:val="005241AD"/>
    <w:rsid w:val="00535C8B"/>
    <w:rsid w:val="0054561E"/>
    <w:rsid w:val="005512A7"/>
    <w:rsid w:val="00551BDD"/>
    <w:rsid w:val="00551D34"/>
    <w:rsid w:val="00552574"/>
    <w:rsid w:val="0055318A"/>
    <w:rsid w:val="0055514A"/>
    <w:rsid w:val="0055623E"/>
    <w:rsid w:val="00556D8A"/>
    <w:rsid w:val="005612D9"/>
    <w:rsid w:val="00561645"/>
    <w:rsid w:val="00565C75"/>
    <w:rsid w:val="00567DFD"/>
    <w:rsid w:val="00567F02"/>
    <w:rsid w:val="005717E2"/>
    <w:rsid w:val="00573C37"/>
    <w:rsid w:val="005775AE"/>
    <w:rsid w:val="00582492"/>
    <w:rsid w:val="00590FA4"/>
    <w:rsid w:val="005968CA"/>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4545"/>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10B4B"/>
    <w:rsid w:val="007120BF"/>
    <w:rsid w:val="00713CAC"/>
    <w:rsid w:val="0071459E"/>
    <w:rsid w:val="00715B11"/>
    <w:rsid w:val="007177DA"/>
    <w:rsid w:val="007200D4"/>
    <w:rsid w:val="0072411C"/>
    <w:rsid w:val="007256CA"/>
    <w:rsid w:val="00726393"/>
    <w:rsid w:val="0072764E"/>
    <w:rsid w:val="00732F06"/>
    <w:rsid w:val="0073522C"/>
    <w:rsid w:val="007364CE"/>
    <w:rsid w:val="00736CBE"/>
    <w:rsid w:val="00736E8E"/>
    <w:rsid w:val="00742297"/>
    <w:rsid w:val="0074656A"/>
    <w:rsid w:val="007465F8"/>
    <w:rsid w:val="00750F12"/>
    <w:rsid w:val="00756194"/>
    <w:rsid w:val="0076184E"/>
    <w:rsid w:val="007657D0"/>
    <w:rsid w:val="007664E6"/>
    <w:rsid w:val="00771AC0"/>
    <w:rsid w:val="00772C2E"/>
    <w:rsid w:val="00772E75"/>
    <w:rsid w:val="00781118"/>
    <w:rsid w:val="007837FD"/>
    <w:rsid w:val="007863C5"/>
    <w:rsid w:val="00787DF3"/>
    <w:rsid w:val="007908A0"/>
    <w:rsid w:val="0079165E"/>
    <w:rsid w:val="00791A57"/>
    <w:rsid w:val="00796E43"/>
    <w:rsid w:val="007A0986"/>
    <w:rsid w:val="007A31AB"/>
    <w:rsid w:val="007B1293"/>
    <w:rsid w:val="007B1FE7"/>
    <w:rsid w:val="007B28AD"/>
    <w:rsid w:val="007B2D8D"/>
    <w:rsid w:val="007B53FF"/>
    <w:rsid w:val="007B5D98"/>
    <w:rsid w:val="007B72CB"/>
    <w:rsid w:val="007B75C9"/>
    <w:rsid w:val="007B785A"/>
    <w:rsid w:val="007C027F"/>
    <w:rsid w:val="007C04C0"/>
    <w:rsid w:val="007C10B4"/>
    <w:rsid w:val="007C24F9"/>
    <w:rsid w:val="007C2D4F"/>
    <w:rsid w:val="007C46E8"/>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406C5"/>
    <w:rsid w:val="00840EBB"/>
    <w:rsid w:val="008422CA"/>
    <w:rsid w:val="00845BCF"/>
    <w:rsid w:val="008534ED"/>
    <w:rsid w:val="00853D30"/>
    <w:rsid w:val="008546E9"/>
    <w:rsid w:val="0085499E"/>
    <w:rsid w:val="00862006"/>
    <w:rsid w:val="00863D22"/>
    <w:rsid w:val="00873304"/>
    <w:rsid w:val="0087337B"/>
    <w:rsid w:val="008738C2"/>
    <w:rsid w:val="00874C07"/>
    <w:rsid w:val="0087546A"/>
    <w:rsid w:val="00881A0C"/>
    <w:rsid w:val="00882E97"/>
    <w:rsid w:val="00884486"/>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489B"/>
    <w:rsid w:val="009958D8"/>
    <w:rsid w:val="009A0CFA"/>
    <w:rsid w:val="009A1708"/>
    <w:rsid w:val="009A444A"/>
    <w:rsid w:val="009A4D9E"/>
    <w:rsid w:val="009A5C23"/>
    <w:rsid w:val="009A788A"/>
    <w:rsid w:val="009B00FC"/>
    <w:rsid w:val="009B1404"/>
    <w:rsid w:val="009B1922"/>
    <w:rsid w:val="009B3537"/>
    <w:rsid w:val="009B605C"/>
    <w:rsid w:val="009B6EFC"/>
    <w:rsid w:val="009B7BC0"/>
    <w:rsid w:val="009C3870"/>
    <w:rsid w:val="009C46D3"/>
    <w:rsid w:val="009C63AB"/>
    <w:rsid w:val="009C722E"/>
    <w:rsid w:val="009C72A8"/>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9BF"/>
    <w:rsid w:val="00A10EAB"/>
    <w:rsid w:val="00A1180C"/>
    <w:rsid w:val="00A11DD2"/>
    <w:rsid w:val="00A13D9F"/>
    <w:rsid w:val="00A23512"/>
    <w:rsid w:val="00A23D7C"/>
    <w:rsid w:val="00A268C8"/>
    <w:rsid w:val="00A26B49"/>
    <w:rsid w:val="00A27F04"/>
    <w:rsid w:val="00A33B0E"/>
    <w:rsid w:val="00A374AC"/>
    <w:rsid w:val="00A40764"/>
    <w:rsid w:val="00A42616"/>
    <w:rsid w:val="00A45859"/>
    <w:rsid w:val="00A47D13"/>
    <w:rsid w:val="00A51629"/>
    <w:rsid w:val="00A557DE"/>
    <w:rsid w:val="00A5653F"/>
    <w:rsid w:val="00A6096B"/>
    <w:rsid w:val="00A6201C"/>
    <w:rsid w:val="00A672F0"/>
    <w:rsid w:val="00A75C06"/>
    <w:rsid w:val="00A75E5A"/>
    <w:rsid w:val="00A80D6B"/>
    <w:rsid w:val="00A85549"/>
    <w:rsid w:val="00A86E6D"/>
    <w:rsid w:val="00A87D6F"/>
    <w:rsid w:val="00A91467"/>
    <w:rsid w:val="00A93C8D"/>
    <w:rsid w:val="00A93F65"/>
    <w:rsid w:val="00A97075"/>
    <w:rsid w:val="00AA0D90"/>
    <w:rsid w:val="00AA3EC3"/>
    <w:rsid w:val="00AA42D5"/>
    <w:rsid w:val="00AA71D9"/>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401"/>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66D3"/>
    <w:rsid w:val="00BB7FCD"/>
    <w:rsid w:val="00BC2C59"/>
    <w:rsid w:val="00BC38ED"/>
    <w:rsid w:val="00BC3F24"/>
    <w:rsid w:val="00BC4330"/>
    <w:rsid w:val="00BC4930"/>
    <w:rsid w:val="00BC5449"/>
    <w:rsid w:val="00BC6354"/>
    <w:rsid w:val="00BC758C"/>
    <w:rsid w:val="00BD064D"/>
    <w:rsid w:val="00BD5187"/>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2DD9"/>
    <w:rsid w:val="00C93AAF"/>
    <w:rsid w:val="00C94FA5"/>
    <w:rsid w:val="00C97B12"/>
    <w:rsid w:val="00CA31DF"/>
    <w:rsid w:val="00CA5C54"/>
    <w:rsid w:val="00CA7BFA"/>
    <w:rsid w:val="00CB09F5"/>
    <w:rsid w:val="00CB1198"/>
    <w:rsid w:val="00CB622B"/>
    <w:rsid w:val="00CB687E"/>
    <w:rsid w:val="00CB6883"/>
    <w:rsid w:val="00CC1F95"/>
    <w:rsid w:val="00CC550B"/>
    <w:rsid w:val="00CC68B9"/>
    <w:rsid w:val="00CD1679"/>
    <w:rsid w:val="00CD5F5E"/>
    <w:rsid w:val="00CE0CB7"/>
    <w:rsid w:val="00CE331D"/>
    <w:rsid w:val="00CE3335"/>
    <w:rsid w:val="00CE531A"/>
    <w:rsid w:val="00CF183F"/>
    <w:rsid w:val="00CF3BF8"/>
    <w:rsid w:val="00CF409E"/>
    <w:rsid w:val="00CF5716"/>
    <w:rsid w:val="00CF7970"/>
    <w:rsid w:val="00CF7AC9"/>
    <w:rsid w:val="00CF7B27"/>
    <w:rsid w:val="00D01329"/>
    <w:rsid w:val="00D040AC"/>
    <w:rsid w:val="00D0421B"/>
    <w:rsid w:val="00D05D67"/>
    <w:rsid w:val="00D07C07"/>
    <w:rsid w:val="00D16B78"/>
    <w:rsid w:val="00D203CB"/>
    <w:rsid w:val="00D25EDA"/>
    <w:rsid w:val="00D275F5"/>
    <w:rsid w:val="00D27BF8"/>
    <w:rsid w:val="00D321F0"/>
    <w:rsid w:val="00D3558A"/>
    <w:rsid w:val="00D4400A"/>
    <w:rsid w:val="00D44643"/>
    <w:rsid w:val="00D47093"/>
    <w:rsid w:val="00D52824"/>
    <w:rsid w:val="00D55EAD"/>
    <w:rsid w:val="00D57BFC"/>
    <w:rsid w:val="00D6004B"/>
    <w:rsid w:val="00D61BDA"/>
    <w:rsid w:val="00D6247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2286"/>
    <w:rsid w:val="00E13C57"/>
    <w:rsid w:val="00E15337"/>
    <w:rsid w:val="00E171B1"/>
    <w:rsid w:val="00E204D7"/>
    <w:rsid w:val="00E24BE4"/>
    <w:rsid w:val="00E2652B"/>
    <w:rsid w:val="00E271F3"/>
    <w:rsid w:val="00E2737B"/>
    <w:rsid w:val="00E374D3"/>
    <w:rsid w:val="00E4570A"/>
    <w:rsid w:val="00E4606C"/>
    <w:rsid w:val="00E46131"/>
    <w:rsid w:val="00E47754"/>
    <w:rsid w:val="00E50C4F"/>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23B0"/>
    <w:rsid w:val="00EB356D"/>
    <w:rsid w:val="00EB3E4D"/>
    <w:rsid w:val="00EB5F52"/>
    <w:rsid w:val="00EC3403"/>
    <w:rsid w:val="00EC406D"/>
    <w:rsid w:val="00EC6D56"/>
    <w:rsid w:val="00EC7D8D"/>
    <w:rsid w:val="00ED1408"/>
    <w:rsid w:val="00ED316C"/>
    <w:rsid w:val="00ED4A22"/>
    <w:rsid w:val="00ED5A37"/>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1931968111">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szpitallapy.pl" TargetMode="External"/><Relationship Id="rId2" Type="http://schemas.openxmlformats.org/officeDocument/2006/relationships/numbering" Target="numbering.xml"/><Relationship Id="rId16" Type="http://schemas.openxmlformats.org/officeDocument/2006/relationships/hyperlink" Target="mailto:iod@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1128-568A-4FAF-B504-41E6C77E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23</Pages>
  <Words>9621</Words>
  <Characters>57726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32</cp:revision>
  <cp:lastPrinted>2019-03-20T11:57:00Z</cp:lastPrinted>
  <dcterms:created xsi:type="dcterms:W3CDTF">2019-03-14T08:28:00Z</dcterms:created>
  <dcterms:modified xsi:type="dcterms:W3CDTF">2019-04-25T08:28:00Z</dcterms:modified>
</cp:coreProperties>
</file>